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462" w:rsidRDefault="00C0295D">
      <w:pPr>
        <w:tabs>
          <w:tab w:val="center" w:pos="4536"/>
          <w:tab w:val="right" w:pos="8280"/>
          <w:tab w:val="right" w:pos="9639"/>
        </w:tabs>
        <w:snapToGrid w:val="0"/>
        <w:ind w:left="442" w:right="2" w:hangingChars="200" w:hanging="442"/>
        <w:jc w:val="both"/>
        <w:rPr>
          <w:rFonts w:ascii="Arial" w:eastAsia="宋体" w:hAnsi="Arial"/>
          <w:b/>
          <w:sz w:val="22"/>
        </w:rPr>
      </w:pPr>
      <w:r>
        <w:rPr>
          <w:rFonts w:ascii="Arial" w:eastAsia="宋体" w:hAnsi="Arial" w:hint="eastAsia"/>
          <w:b/>
          <w:sz w:val="22"/>
          <w:lang w:eastAsia="ja-JP"/>
        </w:rPr>
        <w:t>3GPP TSG RAN WG1 #10</w:t>
      </w:r>
      <w:r>
        <w:rPr>
          <w:rFonts w:ascii="Arial" w:eastAsia="宋体" w:hAnsi="Arial" w:hint="eastAsia"/>
          <w:b/>
          <w:sz w:val="22"/>
        </w:rPr>
        <w:t>6</w:t>
      </w:r>
      <w:r>
        <w:rPr>
          <w:rFonts w:ascii="Arial" w:eastAsia="宋体" w:hAnsi="Arial" w:hint="eastAsia"/>
          <w:b/>
          <w:sz w:val="22"/>
          <w:lang w:eastAsia="ja-JP"/>
        </w:rPr>
        <w:t>-e</w:t>
      </w:r>
      <w:r>
        <w:rPr>
          <w:rFonts w:ascii="Arial" w:eastAsia="宋体" w:hAnsi="Arial" w:hint="eastAsia"/>
          <w:b/>
          <w:sz w:val="22"/>
        </w:rPr>
        <w:tab/>
        <w:t xml:space="preserve">                                                                    </w:t>
      </w:r>
      <w:r>
        <w:rPr>
          <w:rFonts w:ascii="Arial" w:eastAsia="宋体" w:hAnsi="Arial"/>
          <w:b/>
          <w:sz w:val="22"/>
        </w:rPr>
        <w:t xml:space="preserve"> </w:t>
      </w:r>
      <w:r>
        <w:rPr>
          <w:rFonts w:ascii="Arial" w:eastAsia="宋体" w:hAnsi="Arial" w:hint="eastAsia"/>
          <w:b/>
          <w:sz w:val="22"/>
        </w:rPr>
        <w:t xml:space="preserve">                </w:t>
      </w:r>
      <w:r>
        <w:rPr>
          <w:rFonts w:ascii="Arial" w:eastAsia="宋体" w:hAnsi="Arial" w:hint="eastAsia"/>
          <w:b/>
          <w:sz w:val="22"/>
          <w:lang w:eastAsia="ja-JP"/>
        </w:rPr>
        <w:t>R1-</w:t>
      </w:r>
      <w:r>
        <w:rPr>
          <w:rFonts w:ascii="Arial" w:eastAsia="宋体" w:hAnsi="Arial" w:hint="eastAsia"/>
          <w:b/>
          <w:sz w:val="22"/>
        </w:rPr>
        <w:t>2106543</w:t>
      </w:r>
    </w:p>
    <w:p w:rsidR="008E1462" w:rsidRDefault="00C0295D">
      <w:pPr>
        <w:tabs>
          <w:tab w:val="center" w:pos="4536"/>
          <w:tab w:val="right" w:pos="8280"/>
          <w:tab w:val="right" w:pos="9639"/>
        </w:tabs>
        <w:snapToGrid w:val="0"/>
        <w:ind w:left="442" w:right="2" w:hangingChars="200" w:hanging="442"/>
        <w:jc w:val="both"/>
        <w:rPr>
          <w:rFonts w:ascii="Arial" w:eastAsia="宋体" w:hAnsi="Arial"/>
          <w:b/>
          <w:sz w:val="22"/>
        </w:rPr>
      </w:pPr>
      <w:proofErr w:type="gramStart"/>
      <w:r>
        <w:rPr>
          <w:rFonts w:ascii="Arial" w:eastAsia="宋体" w:hAnsi="Arial" w:hint="eastAsia"/>
          <w:b/>
          <w:sz w:val="22"/>
          <w:lang w:eastAsia="ja-JP"/>
        </w:rPr>
        <w:t>e-Meeting</w:t>
      </w:r>
      <w:proofErr w:type="gramEnd"/>
      <w:r>
        <w:rPr>
          <w:rFonts w:ascii="Arial" w:eastAsia="宋体" w:hAnsi="Arial" w:hint="eastAsia"/>
          <w:b/>
          <w:sz w:val="22"/>
          <w:lang w:eastAsia="ja-JP"/>
        </w:rPr>
        <w:t>, August 16</w:t>
      </w:r>
      <w:r>
        <w:rPr>
          <w:rFonts w:ascii="Arial" w:eastAsia="宋体" w:hAnsi="Arial" w:hint="eastAsia"/>
          <w:b/>
          <w:sz w:val="22"/>
          <w:vertAlign w:val="superscript"/>
          <w:lang w:eastAsia="ja-JP"/>
        </w:rPr>
        <w:t>th</w:t>
      </w:r>
      <w:r>
        <w:rPr>
          <w:rFonts w:ascii="Arial" w:eastAsia="宋体" w:hAnsi="Arial" w:hint="eastAsia"/>
          <w:b/>
          <w:sz w:val="22"/>
          <w:lang w:eastAsia="ja-JP"/>
        </w:rPr>
        <w:t xml:space="preserve"> </w:t>
      </w:r>
      <w:r>
        <w:rPr>
          <w:rFonts w:ascii="Arial" w:eastAsia="MS Mincho" w:hAnsi="Arial" w:cs="Arial"/>
          <w:b/>
          <w:bCs/>
          <w:sz w:val="22"/>
          <w:lang w:eastAsia="ja-JP"/>
        </w:rPr>
        <w:t>–</w:t>
      </w:r>
      <w:r>
        <w:rPr>
          <w:rFonts w:ascii="Arial" w:eastAsia="宋体" w:hAnsi="Arial" w:hint="eastAsia"/>
          <w:b/>
          <w:sz w:val="22"/>
          <w:lang w:eastAsia="ja-JP"/>
        </w:rPr>
        <w:t xml:space="preserve"> 27</w:t>
      </w:r>
      <w:r>
        <w:rPr>
          <w:rFonts w:ascii="Arial" w:eastAsia="宋体" w:hAnsi="Arial" w:hint="eastAsia"/>
          <w:b/>
          <w:sz w:val="22"/>
          <w:vertAlign w:val="superscript"/>
          <w:lang w:eastAsia="ja-JP"/>
        </w:rPr>
        <w:t>th</w:t>
      </w:r>
      <w:r>
        <w:rPr>
          <w:rFonts w:ascii="Arial" w:eastAsia="宋体" w:hAnsi="Arial" w:hint="eastAsia"/>
          <w:b/>
          <w:sz w:val="22"/>
          <w:lang w:eastAsia="ja-JP"/>
        </w:rPr>
        <w:t>, 202</w:t>
      </w:r>
      <w:r>
        <w:rPr>
          <w:rFonts w:ascii="Arial" w:eastAsia="宋体" w:hAnsi="Arial" w:hint="eastAsia"/>
          <w:b/>
          <w:sz w:val="22"/>
        </w:rPr>
        <w:t>1</w:t>
      </w:r>
    </w:p>
    <w:p w:rsidR="008E1462" w:rsidRDefault="00C0295D">
      <w:pPr>
        <w:pStyle w:val="ad"/>
        <w:tabs>
          <w:tab w:val="clear" w:pos="4536"/>
          <w:tab w:val="left" w:pos="1805"/>
        </w:tabs>
        <w:snapToGrid w:val="0"/>
        <w:spacing w:before="120"/>
        <w:ind w:left="1803" w:hanging="1803"/>
        <w:jc w:val="both"/>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8E1462" w:rsidRDefault="00C0295D">
      <w:pPr>
        <w:pStyle w:val="ad"/>
        <w:tabs>
          <w:tab w:val="left" w:pos="1800"/>
        </w:tabs>
        <w:snapToGrid w:val="0"/>
        <w:ind w:left="1840" w:hangingChars="833" w:hanging="1840"/>
        <w:jc w:val="both"/>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Discussion on Multi-TRP inter-cell operation</w:t>
      </w:r>
    </w:p>
    <w:p w:rsidR="008E1462" w:rsidRDefault="00C0295D">
      <w:pPr>
        <w:pStyle w:val="ad"/>
        <w:tabs>
          <w:tab w:val="left" w:pos="1800"/>
        </w:tabs>
        <w:snapToGrid w:val="0"/>
        <w:jc w:val="both"/>
        <w:rPr>
          <w:sz w:val="22"/>
          <w:szCs w:val="22"/>
        </w:rPr>
      </w:pPr>
      <w:r>
        <w:rPr>
          <w:sz w:val="22"/>
          <w:szCs w:val="22"/>
          <w:lang w:eastAsia="zh-CN"/>
        </w:rPr>
        <w:t>Agenda Item:</w:t>
      </w:r>
      <w:bookmarkStart w:id="0" w:name="Source"/>
      <w:bookmarkEnd w:id="0"/>
      <w:r>
        <w:rPr>
          <w:rFonts w:ascii="Times New Roman" w:eastAsia="宋体" w:hAnsi="Times New Roman"/>
          <w:bCs/>
          <w:sz w:val="22"/>
          <w:szCs w:val="22"/>
          <w:lang w:eastAsia="zh-CN"/>
        </w:rPr>
        <w:tab/>
      </w:r>
      <w:r>
        <w:rPr>
          <w:rFonts w:hint="eastAsia"/>
          <w:sz w:val="22"/>
          <w:szCs w:val="22"/>
        </w:rPr>
        <w:t>8.1.2.2</w:t>
      </w:r>
    </w:p>
    <w:p w:rsidR="008E1462" w:rsidRDefault="00C0295D">
      <w:pPr>
        <w:pBdr>
          <w:bottom w:val="single" w:sz="6" w:space="1" w:color="auto"/>
        </w:pBdr>
        <w:snapToGrid w:val="0"/>
        <w:spacing w:after="240"/>
        <w:ind w:left="1800" w:hanging="1800"/>
        <w:jc w:val="both"/>
        <w:rPr>
          <w:rFonts w:eastAsia="宋体"/>
          <w:b/>
          <w:sz w:val="22"/>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8E1462" w:rsidRDefault="00C0295D">
      <w:pPr>
        <w:pStyle w:val="1"/>
        <w:tabs>
          <w:tab w:val="clear" w:pos="432"/>
        </w:tabs>
        <w:snapToGrid w:val="0"/>
        <w:spacing w:beforeLines="50" w:before="180" w:beforeAutospacing="0" w:afterLines="50" w:after="180" w:afterAutospacing="0" w:line="240" w:lineRule="auto"/>
        <w:ind w:left="431" w:hanging="431"/>
        <w:jc w:val="both"/>
        <w:rPr>
          <w:rFonts w:ascii="Arial" w:hAnsi="Arial"/>
          <w:sz w:val="28"/>
          <w:lang w:val="en-US"/>
        </w:rPr>
      </w:pPr>
      <w:r>
        <w:rPr>
          <w:rFonts w:ascii="Arial" w:hAnsi="Arial"/>
          <w:sz w:val="28"/>
          <w:lang w:val="en-US"/>
        </w:rPr>
        <w:t>Introduction</w:t>
      </w:r>
    </w:p>
    <w:p w:rsidR="008E1462" w:rsidRDefault="00C0295D">
      <w:pPr>
        <w:snapToGrid w:val="0"/>
        <w:spacing w:beforeLines="50" w:before="180" w:afterLines="50" w:after="180"/>
        <w:jc w:val="both"/>
      </w:pPr>
      <w:r>
        <w:rPr>
          <w:rFonts w:eastAsia="微软雅黑" w:hint="eastAsia"/>
          <w:szCs w:val="20"/>
          <w:lang w:val="en-GB"/>
        </w:rPr>
        <w:t xml:space="preserve">In </w:t>
      </w:r>
      <w:r>
        <w:rPr>
          <w:rFonts w:eastAsia="微软雅黑" w:hint="eastAsia"/>
          <w:szCs w:val="20"/>
        </w:rPr>
        <w:t xml:space="preserve">this </w:t>
      </w:r>
      <w:r>
        <w:rPr>
          <w:rFonts w:eastAsia="微软雅黑" w:hint="eastAsia"/>
          <w:szCs w:val="20"/>
          <w:lang w:val="en-GB"/>
        </w:rPr>
        <w:t xml:space="preserve">contribution, </w:t>
      </w:r>
      <w:r>
        <w:rPr>
          <w:rFonts w:hint="eastAsia"/>
        </w:rPr>
        <w:t xml:space="preserve">we discuss the following aspects </w:t>
      </w:r>
      <w:r>
        <w:rPr>
          <w:rFonts w:eastAsia="宋体" w:hint="eastAsia"/>
        </w:rPr>
        <w:t xml:space="preserve">for </w:t>
      </w:r>
      <w:r>
        <w:rPr>
          <w:rFonts w:hint="eastAsia"/>
        </w:rPr>
        <w:t xml:space="preserve">Multi-TRP </w:t>
      </w:r>
      <w:r>
        <w:rPr>
          <w:rFonts w:eastAsia="宋体" w:hint="eastAsia"/>
        </w:rPr>
        <w:t>inter-cell operation</w:t>
      </w:r>
      <w:r>
        <w:rPr>
          <w:rFonts w:hint="eastAsia"/>
        </w:rPr>
        <w:t xml:space="preserve"> enhancements:</w:t>
      </w:r>
    </w:p>
    <w:p w:rsidR="008E1462" w:rsidRDefault="00C0295D">
      <w:pPr>
        <w:pStyle w:val="21"/>
        <w:numPr>
          <w:ilvl w:val="0"/>
          <w:numId w:val="4"/>
        </w:numPr>
        <w:snapToGrid w:val="0"/>
        <w:spacing w:before="180" w:after="180"/>
        <w:rPr>
          <w:sz w:val="20"/>
        </w:rPr>
      </w:pPr>
      <w:r>
        <w:rPr>
          <w:rFonts w:hint="eastAsia"/>
          <w:sz w:val="20"/>
        </w:rPr>
        <w:t>Other required non-serving cell SSB information</w:t>
      </w:r>
    </w:p>
    <w:p w:rsidR="008E1462" w:rsidRDefault="00C0295D">
      <w:pPr>
        <w:pStyle w:val="21"/>
        <w:numPr>
          <w:ilvl w:val="0"/>
          <w:numId w:val="4"/>
        </w:numPr>
        <w:snapToGrid w:val="0"/>
        <w:spacing w:before="180" w:after="180"/>
        <w:rPr>
          <w:sz w:val="20"/>
        </w:rPr>
      </w:pPr>
      <w:r>
        <w:rPr>
          <w:rFonts w:hint="eastAsia"/>
          <w:sz w:val="20"/>
        </w:rPr>
        <w:t>Configuration of non-serving cell SSB information</w:t>
      </w:r>
    </w:p>
    <w:p w:rsidR="008E1462" w:rsidRDefault="00C0295D">
      <w:pPr>
        <w:pStyle w:val="21"/>
        <w:numPr>
          <w:ilvl w:val="0"/>
          <w:numId w:val="4"/>
        </w:numPr>
        <w:snapToGrid w:val="0"/>
        <w:spacing w:before="180" w:after="180"/>
        <w:rPr>
          <w:sz w:val="20"/>
        </w:rPr>
      </w:pPr>
      <w:r>
        <w:rPr>
          <w:rFonts w:hint="eastAsia"/>
          <w:sz w:val="20"/>
        </w:rPr>
        <w:t xml:space="preserve">Association of </w:t>
      </w:r>
      <w:r>
        <w:rPr>
          <w:rFonts w:hint="eastAsia"/>
          <w:sz w:val="20"/>
        </w:rPr>
        <w:t>non-serving cell SSB information with TCI state</w:t>
      </w:r>
    </w:p>
    <w:p w:rsidR="008E1462" w:rsidRDefault="00C0295D">
      <w:pPr>
        <w:pStyle w:val="21"/>
        <w:numPr>
          <w:ilvl w:val="0"/>
          <w:numId w:val="4"/>
        </w:numPr>
        <w:snapToGrid w:val="0"/>
        <w:spacing w:before="180" w:after="180"/>
        <w:rPr>
          <w:sz w:val="20"/>
        </w:rPr>
      </w:pPr>
      <w:r>
        <w:rPr>
          <w:rFonts w:hint="eastAsia"/>
          <w:sz w:val="20"/>
        </w:rPr>
        <w:t>Non-serving cell PL-RS for UL transmission</w:t>
      </w:r>
    </w:p>
    <w:p w:rsidR="008E1462" w:rsidRDefault="00C0295D">
      <w:pPr>
        <w:pStyle w:val="21"/>
        <w:numPr>
          <w:ilvl w:val="0"/>
          <w:numId w:val="4"/>
        </w:numPr>
        <w:snapToGrid w:val="0"/>
        <w:spacing w:before="180" w:after="180"/>
        <w:rPr>
          <w:sz w:val="20"/>
        </w:rPr>
      </w:pPr>
      <w:r>
        <w:rPr>
          <w:rFonts w:hint="eastAsia"/>
          <w:sz w:val="20"/>
        </w:rPr>
        <w:t>Sequence generation of non-serving cell TRS</w:t>
      </w:r>
    </w:p>
    <w:p w:rsidR="008E1462" w:rsidRDefault="00C0295D">
      <w:pPr>
        <w:pStyle w:val="21"/>
        <w:numPr>
          <w:ilvl w:val="0"/>
          <w:numId w:val="4"/>
        </w:numPr>
        <w:snapToGrid w:val="0"/>
        <w:spacing w:before="180" w:after="180"/>
        <w:rPr>
          <w:sz w:val="20"/>
        </w:rPr>
      </w:pPr>
      <w:r>
        <w:rPr>
          <w:rFonts w:hint="eastAsia"/>
          <w:sz w:val="20"/>
        </w:rPr>
        <w:t>Rate matching and collision handing</w:t>
      </w:r>
    </w:p>
    <w:p w:rsidR="008E1462" w:rsidRDefault="00C0295D">
      <w:pPr>
        <w:pStyle w:val="1"/>
        <w:tabs>
          <w:tab w:val="clear" w:pos="432"/>
        </w:tabs>
        <w:snapToGrid w:val="0"/>
        <w:spacing w:beforeLines="50" w:before="180" w:beforeAutospacing="0" w:afterLines="50" w:after="180" w:afterAutospacing="0" w:line="240" w:lineRule="auto"/>
        <w:ind w:left="431" w:hanging="431"/>
        <w:jc w:val="both"/>
        <w:rPr>
          <w:rFonts w:ascii="Arial" w:hAnsi="Arial" w:cs="Arial"/>
          <w:sz w:val="28"/>
          <w:lang w:val="en-US"/>
        </w:rPr>
      </w:pPr>
      <w:r>
        <w:rPr>
          <w:rFonts w:ascii="Arial" w:hAnsi="Arial" w:cs="Arial"/>
          <w:sz w:val="28"/>
          <w:lang w:val="en-US"/>
        </w:rPr>
        <w:t>Discussion</w:t>
      </w:r>
    </w:p>
    <w:p w:rsidR="008E1462" w:rsidRDefault="00C0295D">
      <w:pPr>
        <w:pStyle w:val="2"/>
        <w:snapToGrid w:val="0"/>
        <w:jc w:val="both"/>
        <w:rPr>
          <w:rFonts w:ascii="Arial" w:hAnsi="Arial" w:cs="Arial"/>
          <w:szCs w:val="22"/>
          <w:lang w:val="en-US"/>
        </w:rPr>
      </w:pPr>
      <w:r>
        <w:rPr>
          <w:rFonts w:ascii="Arial" w:hAnsi="Arial" w:cs="Arial" w:hint="eastAsia"/>
          <w:szCs w:val="22"/>
          <w:lang w:val="en-US"/>
        </w:rPr>
        <w:t>Other required non-serving cell SSB information</w:t>
      </w:r>
    </w:p>
    <w:p w:rsidR="008E1462" w:rsidRDefault="00C0295D">
      <w:pPr>
        <w:snapToGrid w:val="0"/>
        <w:spacing w:afterLines="50" w:after="180"/>
        <w:jc w:val="both"/>
        <w:rPr>
          <w:rFonts w:eastAsiaTheme="minorEastAsia"/>
          <w:szCs w:val="20"/>
        </w:rPr>
      </w:pPr>
      <w:r>
        <w:rPr>
          <w:rFonts w:eastAsiaTheme="minorEastAsia" w:hint="eastAsia"/>
          <w:szCs w:val="20"/>
        </w:rPr>
        <w:t>In RAN1 #104-e meeting, it</w:t>
      </w:r>
      <w:r>
        <w:rPr>
          <w:rFonts w:eastAsiaTheme="minorEastAsia" w:hint="eastAsia"/>
          <w:szCs w:val="20"/>
        </w:rPr>
        <w:t xml:space="preserve"> was agreed that non-serving cell SSB information besides PCI are need, i.e., SSB time domain position, SSB transmission periodicity and SSB transmission power. Where, the requirement of other non-serving cell information </w:t>
      </w:r>
      <w:r>
        <w:rPr>
          <w:rFonts w:eastAsiaTheme="minorEastAsia"/>
          <w:szCs w:val="20"/>
        </w:rPr>
        <w:t>was still</w:t>
      </w:r>
      <w:r>
        <w:rPr>
          <w:rFonts w:eastAsiaTheme="minorEastAsia" w:hint="eastAsia"/>
          <w:szCs w:val="20"/>
        </w:rPr>
        <w:t xml:space="preserve"> FFS [1].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1462">
        <w:tc>
          <w:tcPr>
            <w:tcW w:w="9576" w:type="dxa"/>
            <w:shd w:val="clear" w:color="auto" w:fill="auto"/>
          </w:tcPr>
          <w:p w:rsidR="008E1462" w:rsidRDefault="00C0295D">
            <w:pPr>
              <w:snapToGrid w:val="0"/>
              <w:spacing w:beforeLines="50" w:before="180" w:afterLines="50" w:after="180"/>
              <w:jc w:val="both"/>
              <w:rPr>
                <w:rFonts w:eastAsiaTheme="minorEastAsia"/>
                <w:b/>
                <w:bCs/>
                <w:szCs w:val="20"/>
              </w:rPr>
            </w:pPr>
            <w:r>
              <w:rPr>
                <w:rFonts w:eastAsiaTheme="minorEastAsia" w:hint="eastAsia"/>
                <w:b/>
                <w:bCs/>
                <w:szCs w:val="20"/>
              </w:rPr>
              <w:t>RAN1 #104-e</w:t>
            </w:r>
          </w:p>
          <w:p w:rsidR="008E1462" w:rsidRDefault="00C0295D">
            <w:pPr>
              <w:snapToGrid w:val="0"/>
              <w:spacing w:beforeLines="50" w:before="180"/>
              <w:jc w:val="both"/>
              <w:rPr>
                <w:b/>
                <w:i/>
                <w:iCs/>
                <w:u w:val="single"/>
              </w:rPr>
            </w:pPr>
            <w:r>
              <w:rPr>
                <w:b/>
                <w:i/>
                <w:iCs/>
                <w:u w:val="single"/>
                <w:lang w:val="en-GB"/>
              </w:rPr>
              <w:t>Agreement</w:t>
            </w:r>
          </w:p>
          <w:p w:rsidR="008E1462" w:rsidRDefault="00C0295D">
            <w:pPr>
              <w:snapToGrid w:val="0"/>
              <w:rPr>
                <w:i/>
                <w:iCs/>
                <w:szCs w:val="20"/>
              </w:rPr>
            </w:pPr>
            <w:r>
              <w:rPr>
                <w:i/>
                <w:iCs/>
                <w:szCs w:val="20"/>
              </w:rPr>
              <w:t>Non-serving cell information at least includes non-serving cell PCI to support inter-cell multi-DCI multi-TRP operation</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FFS: Whether the indication of PCI is implicit or explicit</w:t>
            </w:r>
          </w:p>
          <w:p w:rsidR="008E1462" w:rsidRDefault="00C0295D">
            <w:pPr>
              <w:snapToGrid w:val="0"/>
              <w:spacing w:beforeLines="50" w:before="180"/>
              <w:jc w:val="both"/>
              <w:rPr>
                <w:b/>
                <w:i/>
                <w:iCs/>
                <w:u w:val="single"/>
              </w:rPr>
            </w:pPr>
            <w:r>
              <w:rPr>
                <w:b/>
                <w:i/>
                <w:iCs/>
                <w:u w:val="single"/>
                <w:lang w:val="en-GB"/>
              </w:rPr>
              <w:t>Agreement</w:t>
            </w:r>
          </w:p>
          <w:p w:rsidR="008E1462" w:rsidRDefault="00C0295D">
            <w:pPr>
              <w:snapToGrid w:val="0"/>
              <w:rPr>
                <w:b/>
                <w:bCs/>
                <w:i/>
                <w:iCs/>
                <w:szCs w:val="20"/>
              </w:rPr>
            </w:pPr>
            <w:r>
              <w:rPr>
                <w:i/>
                <w:iCs/>
                <w:szCs w:val="20"/>
              </w:rPr>
              <w:t xml:space="preserve">At least following non-serving cell SSB information are needed in inter-cell MTRP operation </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SSB time domain position</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SSB transmission periodicity</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SSB transmission power</w:t>
            </w:r>
          </w:p>
          <w:p w:rsidR="008E1462" w:rsidRDefault="00C0295D">
            <w:pPr>
              <w:pStyle w:val="paragraph"/>
              <w:snapToGrid w:val="0"/>
              <w:spacing w:before="0" w:beforeAutospacing="0" w:after="0" w:afterAutospacing="0"/>
              <w:jc w:val="both"/>
              <w:textAlignment w:val="baseline"/>
              <w:rPr>
                <w:i/>
                <w:iCs/>
                <w:sz w:val="20"/>
                <w:szCs w:val="20"/>
              </w:rPr>
            </w:pPr>
            <w:r>
              <w:rPr>
                <w:i/>
                <w:iCs/>
                <w:sz w:val="20"/>
                <w:szCs w:val="20"/>
              </w:rPr>
              <w:t>FFS: Other non-serving cell information</w:t>
            </w:r>
          </w:p>
          <w:p w:rsidR="008E1462" w:rsidRDefault="00C0295D">
            <w:pPr>
              <w:pStyle w:val="paragraph"/>
              <w:snapToGrid w:val="0"/>
              <w:spacing w:before="0" w:beforeAutospacing="0" w:after="0" w:afterAutospacing="0"/>
              <w:jc w:val="both"/>
              <w:textAlignment w:val="baseline"/>
              <w:rPr>
                <w:rFonts w:eastAsiaTheme="minorEastAsia"/>
                <w:szCs w:val="20"/>
                <w:lang w:val="en-US"/>
              </w:rPr>
            </w:pPr>
            <w:r>
              <w:rPr>
                <w:i/>
                <w:iCs/>
                <w:sz w:val="20"/>
                <w:szCs w:val="20"/>
              </w:rPr>
              <w:t>FFS: Whether indication of these information i</w:t>
            </w:r>
            <w:r>
              <w:rPr>
                <w:i/>
                <w:iCs/>
                <w:sz w:val="20"/>
                <w:szCs w:val="20"/>
              </w:rPr>
              <w:t>s implicit or explicit</w:t>
            </w:r>
          </w:p>
        </w:tc>
      </w:tr>
    </w:tbl>
    <w:p w:rsidR="008E1462" w:rsidRDefault="00C0295D">
      <w:pPr>
        <w:snapToGrid w:val="0"/>
        <w:spacing w:beforeLines="50" w:before="180" w:afterLines="50" w:after="180"/>
        <w:jc w:val="both"/>
        <w:rPr>
          <w:rFonts w:eastAsiaTheme="minorEastAsia"/>
          <w:szCs w:val="20"/>
        </w:rPr>
      </w:pPr>
      <w:r>
        <w:rPr>
          <w:rFonts w:eastAsiaTheme="minorEastAsia" w:hint="eastAsia"/>
          <w:szCs w:val="20"/>
        </w:rPr>
        <w:t xml:space="preserve">In general, it is typical and rational that the non-serving cell TRP selection (TCI/ QCL indication) </w:t>
      </w:r>
      <w:r>
        <w:rPr>
          <w:rFonts w:eastAsiaTheme="minorEastAsia"/>
          <w:szCs w:val="20"/>
        </w:rPr>
        <w:t xml:space="preserve">is </w:t>
      </w:r>
      <w:r>
        <w:rPr>
          <w:rFonts w:eastAsiaTheme="minorEastAsia" w:hint="eastAsia"/>
          <w:szCs w:val="20"/>
        </w:rPr>
        <w:t>determined</w:t>
      </w:r>
      <w:r>
        <w:rPr>
          <w:rFonts w:eastAsiaTheme="minorEastAsia"/>
          <w:szCs w:val="20"/>
        </w:rPr>
        <w:t xml:space="preserve"> </w:t>
      </w:r>
      <w:r>
        <w:rPr>
          <w:rFonts w:eastAsiaTheme="minorEastAsia" w:hint="eastAsia"/>
          <w:szCs w:val="20"/>
        </w:rPr>
        <w:t>based</w:t>
      </w:r>
      <w:r>
        <w:rPr>
          <w:rFonts w:eastAsiaTheme="minorEastAsia"/>
          <w:szCs w:val="20"/>
        </w:rPr>
        <w:t xml:space="preserve"> on</w:t>
      </w:r>
      <w:r>
        <w:rPr>
          <w:rFonts w:eastAsiaTheme="minorEastAsia" w:hint="eastAsia"/>
          <w:szCs w:val="20"/>
        </w:rPr>
        <w:t xml:space="preserve"> mobility </w:t>
      </w:r>
      <w:r>
        <w:rPr>
          <w:rFonts w:eastAsiaTheme="minorEastAsia"/>
          <w:szCs w:val="20"/>
        </w:rPr>
        <w:t>measurement</w:t>
      </w:r>
      <w:r>
        <w:rPr>
          <w:rFonts w:eastAsiaTheme="minorEastAsia" w:hint="eastAsia"/>
          <w:szCs w:val="20"/>
        </w:rPr>
        <w:t>, which means the non-serving cell SSB for inter-cell MTRP operation should be one of th</w:t>
      </w:r>
      <w:r>
        <w:rPr>
          <w:rFonts w:eastAsiaTheme="minorEastAsia" w:hint="eastAsia"/>
          <w:szCs w:val="20"/>
        </w:rPr>
        <w:t xml:space="preserve">e SSB(s) that configured in </w:t>
      </w:r>
      <w:proofErr w:type="spellStart"/>
      <w:r>
        <w:rPr>
          <w:rFonts w:eastAsiaTheme="minorEastAsia" w:hint="eastAsia"/>
          <w:i/>
          <w:iCs/>
          <w:szCs w:val="20"/>
        </w:rPr>
        <w:t>MeasObjectNR</w:t>
      </w:r>
      <w:proofErr w:type="spellEnd"/>
      <w:r>
        <w:rPr>
          <w:rFonts w:eastAsiaTheme="minorEastAsia" w:hint="eastAsia"/>
          <w:szCs w:val="20"/>
        </w:rPr>
        <w:t xml:space="preserve">. Furthermore, measurement object identified by </w:t>
      </w:r>
      <w:proofErr w:type="spellStart"/>
      <w:r>
        <w:rPr>
          <w:rFonts w:eastAsiaTheme="minorEastAsia" w:hint="eastAsia"/>
          <w:i/>
          <w:iCs/>
          <w:szCs w:val="20"/>
        </w:rPr>
        <w:t>measObjectId</w:t>
      </w:r>
      <w:proofErr w:type="spellEnd"/>
      <w:r>
        <w:rPr>
          <w:rFonts w:eastAsiaTheme="minorEastAsia" w:hint="eastAsia"/>
          <w:szCs w:val="20"/>
        </w:rPr>
        <w:t xml:space="preserve"> is used to provide the time/frequency location and SCS of SSB(s) to be measured. </w:t>
      </w:r>
    </w:p>
    <w:p w:rsidR="008E1462" w:rsidRDefault="00C0295D">
      <w:pPr>
        <w:snapToGrid w:val="0"/>
        <w:spacing w:beforeLines="50" w:before="180" w:afterLines="50" w:after="180"/>
        <w:jc w:val="both"/>
        <w:rPr>
          <w:rFonts w:eastAsia="宋体"/>
          <w:b/>
          <w:bCs/>
          <w:i/>
          <w:iCs/>
        </w:rPr>
      </w:pPr>
      <w:r>
        <w:rPr>
          <w:rFonts w:eastAsia="宋体" w:hint="eastAsia"/>
          <w:b/>
          <w:bCs/>
          <w:i/>
          <w:iCs/>
        </w:rPr>
        <w:t xml:space="preserve">Observation 1: </w:t>
      </w:r>
      <w:r>
        <w:rPr>
          <w:rFonts w:eastAsiaTheme="minorEastAsia" w:hint="eastAsia"/>
          <w:i/>
          <w:iCs/>
          <w:szCs w:val="20"/>
        </w:rPr>
        <w:t xml:space="preserve">Non-serving cell SSB used as QCL source RS for inter-cell </w:t>
      </w:r>
      <w:r>
        <w:rPr>
          <w:rFonts w:eastAsiaTheme="minorEastAsia" w:hint="eastAsia"/>
          <w:i/>
          <w:iCs/>
          <w:szCs w:val="20"/>
        </w:rPr>
        <w:t>MTRP operation should be one of SSBs which aims to mobility measurement.</w:t>
      </w:r>
    </w:p>
    <w:p w:rsidR="008E1462" w:rsidRDefault="00C0295D">
      <w:pPr>
        <w:snapToGrid w:val="0"/>
        <w:spacing w:beforeLines="50" w:before="180" w:afterLines="50" w:after="180"/>
        <w:jc w:val="both"/>
        <w:rPr>
          <w:rFonts w:eastAsiaTheme="minorEastAsia"/>
          <w:szCs w:val="20"/>
        </w:rPr>
      </w:pPr>
      <w:r>
        <w:rPr>
          <w:rFonts w:eastAsiaTheme="minorEastAsia" w:hint="eastAsia"/>
          <w:szCs w:val="20"/>
        </w:rPr>
        <w:lastRenderedPageBreak/>
        <w:t>According to the current spec</w:t>
      </w:r>
      <w:r>
        <w:rPr>
          <w:rFonts w:eastAsiaTheme="minorEastAsia"/>
          <w:szCs w:val="20"/>
        </w:rPr>
        <w:t>ification</w:t>
      </w:r>
      <w:r>
        <w:rPr>
          <w:rFonts w:eastAsiaTheme="minorEastAsia" w:hint="eastAsia"/>
          <w:szCs w:val="20"/>
        </w:rPr>
        <w:t>, it allows that multiple SSBs</w:t>
      </w:r>
      <w:r>
        <w:rPr>
          <w:rFonts w:eastAsiaTheme="minorEastAsia"/>
          <w:szCs w:val="20"/>
        </w:rPr>
        <w:t xml:space="preserve"> with a same SSB index</w:t>
      </w:r>
      <w:r>
        <w:rPr>
          <w:rFonts w:eastAsiaTheme="minorEastAsia" w:hint="eastAsia"/>
          <w:szCs w:val="20"/>
        </w:rPr>
        <w:t xml:space="preserve"> for measurement can be configured for one cell, which means both PCI and SSB index of differ</w:t>
      </w:r>
      <w:r>
        <w:rPr>
          <w:rFonts w:eastAsiaTheme="minorEastAsia" w:hint="eastAsia"/>
          <w:szCs w:val="20"/>
        </w:rPr>
        <w:t>ent SSBs can be same, then only using PCI and SSB index can</w:t>
      </w:r>
      <w:r>
        <w:rPr>
          <w:rFonts w:eastAsiaTheme="minorEastAsia"/>
          <w:szCs w:val="20"/>
        </w:rPr>
        <w:t>’</w:t>
      </w:r>
      <w:r>
        <w:rPr>
          <w:rFonts w:eastAsiaTheme="minorEastAsia" w:hint="eastAsia"/>
          <w:szCs w:val="20"/>
        </w:rPr>
        <w:t>t identify one target SSB. Naturally, some other information is needed to identify the target SSB without ambiguity, such as SSB center frequency associated to the MO. For intra-frequency operatio</w:t>
      </w:r>
      <w:r>
        <w:rPr>
          <w:rFonts w:eastAsiaTheme="minorEastAsia" w:hint="eastAsia"/>
          <w:szCs w:val="20"/>
        </w:rPr>
        <w:t xml:space="preserve">n, the frequency of SSB </w:t>
      </w:r>
      <w:r>
        <w:rPr>
          <w:rFonts w:eastAsiaTheme="minorEastAsia"/>
          <w:szCs w:val="20"/>
        </w:rPr>
        <w:t>in</w:t>
      </w:r>
      <w:r>
        <w:rPr>
          <w:rFonts w:eastAsiaTheme="minorEastAsia" w:hint="eastAsia"/>
          <w:szCs w:val="20"/>
        </w:rPr>
        <w:t xml:space="preserve"> MO can be obtained by the information of serving cell. </w:t>
      </w:r>
      <w:r>
        <w:rPr>
          <w:rFonts w:eastAsiaTheme="minorEastAsia"/>
          <w:szCs w:val="20"/>
        </w:rPr>
        <w:t>On the other hand</w:t>
      </w:r>
      <w:r>
        <w:rPr>
          <w:rFonts w:eastAsiaTheme="minorEastAsia" w:hint="eastAsia"/>
          <w:szCs w:val="20"/>
        </w:rPr>
        <w:t>, for inter-frequency operation, due to the center frequency of serving cell and non-serving cell can be different (as shown in Figure 1), the frequency of n</w:t>
      </w:r>
      <w:r>
        <w:rPr>
          <w:rFonts w:eastAsiaTheme="minorEastAsia" w:hint="eastAsia"/>
          <w:szCs w:val="20"/>
        </w:rPr>
        <w:t>on-serving cell SSB should be informed to the UE.</w:t>
      </w:r>
    </w:p>
    <w:p w:rsidR="008E1462" w:rsidRDefault="00C0295D">
      <w:pPr>
        <w:snapToGrid w:val="0"/>
        <w:spacing w:beforeLines="50" w:before="180" w:after="120"/>
        <w:jc w:val="center"/>
      </w:pPr>
      <w:r>
        <w:rPr>
          <w:noProof/>
        </w:rPr>
        <w:drawing>
          <wp:inline distT="0" distB="0" distL="114300" distR="114300">
            <wp:extent cx="4709795" cy="1890395"/>
            <wp:effectExtent l="0" t="0" r="14605" b="1460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4709795" cy="1890395"/>
                    </a:xfrm>
                    <a:prstGeom prst="rect">
                      <a:avLst/>
                    </a:prstGeom>
                    <a:noFill/>
                    <a:ln>
                      <a:noFill/>
                    </a:ln>
                  </pic:spPr>
                </pic:pic>
              </a:graphicData>
            </a:graphic>
          </wp:inline>
        </w:drawing>
      </w:r>
    </w:p>
    <w:p w:rsidR="008E1462" w:rsidRDefault="00C0295D">
      <w:pPr>
        <w:snapToGrid w:val="0"/>
        <w:spacing w:afterLines="50" w:after="180"/>
        <w:ind w:firstLine="420"/>
        <w:jc w:val="center"/>
        <w:rPr>
          <w:rFonts w:eastAsia="宋体"/>
        </w:rPr>
      </w:pPr>
      <w:r>
        <w:rPr>
          <w:rFonts w:eastAsia="宋体" w:hint="eastAsia"/>
          <w:b/>
          <w:bCs/>
        </w:rPr>
        <w:t>Figure 1:</w:t>
      </w:r>
      <w:r>
        <w:rPr>
          <w:rFonts w:eastAsia="宋体" w:hint="eastAsia"/>
        </w:rPr>
        <w:t xml:space="preserve"> SSBs used for mobility measurement with different frequency </w:t>
      </w:r>
      <w:r>
        <w:rPr>
          <w:rFonts w:eastAsia="宋体"/>
        </w:rPr>
        <w:t>in</w:t>
      </w:r>
      <w:r>
        <w:rPr>
          <w:rFonts w:eastAsia="宋体" w:hint="eastAsia"/>
        </w:rPr>
        <w:t xml:space="preserve"> </w:t>
      </w:r>
      <w:r>
        <w:rPr>
          <w:rFonts w:eastAsiaTheme="minorEastAsia" w:hint="eastAsia"/>
          <w:szCs w:val="20"/>
        </w:rPr>
        <w:t>inter-frequency operation</w:t>
      </w:r>
    </w:p>
    <w:p w:rsidR="008E1462" w:rsidRDefault="00C0295D">
      <w:pPr>
        <w:snapToGrid w:val="0"/>
        <w:spacing w:beforeLines="50" w:before="180" w:afterLines="50" w:after="180"/>
        <w:jc w:val="both"/>
        <w:rPr>
          <w:rFonts w:eastAsiaTheme="minorEastAsia"/>
          <w:szCs w:val="20"/>
        </w:rPr>
      </w:pPr>
      <w:r>
        <w:rPr>
          <w:rFonts w:eastAsiaTheme="minorEastAsia" w:hint="eastAsia"/>
          <w:szCs w:val="20"/>
        </w:rPr>
        <w:t>When inter-cell MTRP in inter-frequency operation, some cell-specific parameters, such as SCS and SFN index, can be different between serving cell TRP and non-serving cell TRP. Once the non-serving cell SSB is used as QCL source RS, it means that SCS and S</w:t>
      </w:r>
      <w:r>
        <w:rPr>
          <w:rFonts w:eastAsiaTheme="minorEastAsia" w:hint="eastAsia"/>
          <w:szCs w:val="20"/>
        </w:rPr>
        <w:t xml:space="preserve">FN index of non-serving cell SSB can be different with the serving cell configuration. Therefore, these parameters of non-serving cell SSB also should be provided to the UE. </w:t>
      </w:r>
    </w:p>
    <w:p w:rsidR="008E1462" w:rsidRDefault="00C0295D">
      <w:pPr>
        <w:snapToGrid w:val="0"/>
        <w:spacing w:beforeLines="50" w:before="180" w:afterLines="50" w:after="180"/>
        <w:jc w:val="both"/>
        <w:rPr>
          <w:i/>
          <w:iCs/>
        </w:rPr>
      </w:pPr>
      <w:r>
        <w:rPr>
          <w:rFonts w:hint="eastAsia"/>
          <w:b/>
          <w:bCs/>
          <w:i/>
          <w:iCs/>
        </w:rPr>
        <w:t xml:space="preserve">Proposal 1: </w:t>
      </w:r>
      <w:r>
        <w:rPr>
          <w:rFonts w:hint="eastAsia"/>
          <w:i/>
          <w:iCs/>
        </w:rPr>
        <w:t>Other non-serving cell SSB information</w:t>
      </w:r>
      <w:r>
        <w:rPr>
          <w:rFonts w:eastAsia="宋体" w:hint="eastAsia"/>
          <w:i/>
          <w:iCs/>
        </w:rPr>
        <w:t xml:space="preserve"> provided to UE should also</w:t>
      </w:r>
      <w:r>
        <w:rPr>
          <w:rFonts w:hint="eastAsia"/>
          <w:i/>
          <w:iCs/>
        </w:rPr>
        <w:t xml:space="preserve"> </w:t>
      </w:r>
      <w:r>
        <w:rPr>
          <w:i/>
          <w:iCs/>
        </w:rPr>
        <w:t>inc</w:t>
      </w:r>
      <w:r>
        <w:rPr>
          <w:i/>
          <w:iCs/>
        </w:rPr>
        <w:t>lud</w:t>
      </w:r>
      <w:r>
        <w:rPr>
          <w:rFonts w:eastAsia="宋体" w:hint="eastAsia"/>
          <w:i/>
          <w:iCs/>
        </w:rPr>
        <w:t>e</w:t>
      </w:r>
      <w:r>
        <w:rPr>
          <w:rFonts w:hint="eastAsia"/>
          <w:i/>
          <w:iCs/>
        </w:rPr>
        <w:t xml:space="preserve"> center frequency, SCS, and SFN offset</w:t>
      </w:r>
      <w:r>
        <w:rPr>
          <w:rFonts w:eastAsia="宋体" w:hint="eastAsia"/>
          <w:i/>
          <w:iCs/>
        </w:rPr>
        <w:t>, especially when inter-frequency operation</w:t>
      </w:r>
      <w:r>
        <w:rPr>
          <w:rFonts w:hint="eastAsia"/>
          <w:i/>
          <w:iCs/>
        </w:rPr>
        <w:t>.</w:t>
      </w:r>
    </w:p>
    <w:p w:rsidR="008E1462" w:rsidRDefault="008E1462">
      <w:pPr>
        <w:snapToGrid w:val="0"/>
        <w:spacing w:beforeLines="50" w:before="180" w:afterLines="50" w:after="180"/>
        <w:jc w:val="both"/>
        <w:rPr>
          <w:i/>
          <w:iCs/>
        </w:rPr>
      </w:pPr>
    </w:p>
    <w:p w:rsidR="008E1462" w:rsidRDefault="00C0295D">
      <w:pPr>
        <w:pStyle w:val="2"/>
        <w:snapToGrid w:val="0"/>
        <w:jc w:val="both"/>
        <w:rPr>
          <w:rFonts w:ascii="Arial" w:hAnsi="Arial" w:cs="Arial"/>
          <w:szCs w:val="22"/>
          <w:lang w:val="en-US"/>
        </w:rPr>
      </w:pPr>
      <w:r>
        <w:rPr>
          <w:rFonts w:ascii="Arial" w:hAnsi="Arial" w:cs="Arial" w:hint="eastAsia"/>
          <w:szCs w:val="22"/>
          <w:lang w:val="en-US"/>
        </w:rPr>
        <w:t>Configuration of non-serving cell SSB information</w:t>
      </w:r>
    </w:p>
    <w:p w:rsidR="008E1462" w:rsidRDefault="00C0295D">
      <w:pPr>
        <w:snapToGrid w:val="0"/>
        <w:spacing w:beforeLines="50" w:before="180" w:afterLines="50" w:after="180"/>
        <w:jc w:val="both"/>
        <w:rPr>
          <w:rFonts w:eastAsia="宋体"/>
        </w:rPr>
      </w:pPr>
      <w:r>
        <w:rPr>
          <w:rFonts w:eastAsia="宋体" w:hint="eastAsia"/>
        </w:rPr>
        <w:t>To efficiently provide the non-serving cell information and make the specifications clear, a new RRC IE can be introdu</w:t>
      </w:r>
      <w:r>
        <w:rPr>
          <w:rFonts w:eastAsia="宋体" w:hint="eastAsia"/>
        </w:rPr>
        <w:t xml:space="preserve">ced to configure all of the required non-serving cell information, and linked with some TCI states. </w:t>
      </w:r>
    </w:p>
    <w:p w:rsidR="008E1462" w:rsidRDefault="00C0295D">
      <w:pPr>
        <w:snapToGrid w:val="0"/>
        <w:spacing w:beforeLines="50" w:before="180" w:afterLines="50" w:after="180"/>
        <w:jc w:val="both"/>
        <w:rPr>
          <w:rFonts w:eastAsia="宋体"/>
        </w:rPr>
      </w:pPr>
      <w:r>
        <w:rPr>
          <w:rFonts w:eastAsia="宋体"/>
        </w:rPr>
        <w:t>Note</w:t>
      </w:r>
      <w:r>
        <w:rPr>
          <w:rFonts w:eastAsia="宋体" w:hint="eastAsia"/>
        </w:rPr>
        <w:t xml:space="preserve"> that most of required non-serving cell SSB information can be obtained in </w:t>
      </w:r>
      <w:proofErr w:type="spellStart"/>
      <w:r>
        <w:rPr>
          <w:rFonts w:eastAsia="宋体" w:hint="eastAsia"/>
          <w:i/>
          <w:iCs/>
          <w:szCs w:val="20"/>
        </w:rPr>
        <w:t>MeasObjectNR</w:t>
      </w:r>
      <w:proofErr w:type="spellEnd"/>
      <w:r>
        <w:rPr>
          <w:rFonts w:eastAsia="宋体" w:hint="eastAsia"/>
          <w:i/>
          <w:iCs/>
          <w:szCs w:val="20"/>
        </w:rPr>
        <w:t xml:space="preserve"> </w:t>
      </w:r>
      <w:r>
        <w:rPr>
          <w:rFonts w:eastAsia="宋体" w:hint="eastAsia"/>
          <w:szCs w:val="20"/>
        </w:rPr>
        <w:t xml:space="preserve">(i.e., </w:t>
      </w:r>
      <w:proofErr w:type="spellStart"/>
      <w:r>
        <w:rPr>
          <w:rFonts w:eastAsia="宋体" w:hint="eastAsia"/>
          <w:i/>
          <w:iCs/>
          <w:szCs w:val="20"/>
        </w:rPr>
        <w:t>pci</w:t>
      </w:r>
      <w:proofErr w:type="spellEnd"/>
      <w:r>
        <w:rPr>
          <w:rFonts w:eastAsia="宋体" w:hint="eastAsia"/>
          <w:i/>
          <w:iCs/>
          <w:szCs w:val="20"/>
        </w:rPr>
        <w:t>-List</w:t>
      </w:r>
      <w:r>
        <w:rPr>
          <w:rFonts w:eastAsia="宋体" w:hint="eastAsia"/>
          <w:szCs w:val="20"/>
        </w:rPr>
        <w:t xml:space="preserve"> for non-serving cells, </w:t>
      </w:r>
      <w:proofErr w:type="spellStart"/>
      <w:r>
        <w:rPr>
          <w:rFonts w:eastAsia="宋体" w:hint="eastAsia"/>
          <w:i/>
          <w:iCs/>
          <w:szCs w:val="20"/>
        </w:rPr>
        <w:t>ssb-ToMeasure</w:t>
      </w:r>
      <w:proofErr w:type="spellEnd"/>
      <w:r>
        <w:rPr>
          <w:rFonts w:eastAsia="宋体" w:hint="eastAsia"/>
          <w:szCs w:val="20"/>
        </w:rPr>
        <w:t xml:space="preserve"> for SSB po</w:t>
      </w:r>
      <w:r>
        <w:rPr>
          <w:rFonts w:eastAsia="宋体" w:hint="eastAsia"/>
          <w:szCs w:val="20"/>
        </w:rPr>
        <w:t xml:space="preserve">sition, </w:t>
      </w:r>
      <w:proofErr w:type="spellStart"/>
      <w:r>
        <w:rPr>
          <w:rFonts w:eastAsia="宋体" w:hint="eastAsia"/>
          <w:i/>
          <w:iCs/>
          <w:szCs w:val="20"/>
        </w:rPr>
        <w:t>smtc</w:t>
      </w:r>
      <w:proofErr w:type="spellEnd"/>
      <w:r>
        <w:rPr>
          <w:rFonts w:eastAsia="宋体" w:hint="eastAsia"/>
          <w:i/>
          <w:iCs/>
          <w:szCs w:val="20"/>
        </w:rPr>
        <w:t xml:space="preserve"> </w:t>
      </w:r>
      <w:r>
        <w:rPr>
          <w:rFonts w:eastAsia="宋体" w:hint="eastAsia"/>
          <w:szCs w:val="20"/>
        </w:rPr>
        <w:t xml:space="preserve">for SSB periodicity, </w:t>
      </w:r>
      <w:proofErr w:type="spellStart"/>
      <w:r>
        <w:rPr>
          <w:rFonts w:eastAsia="宋体" w:hint="eastAsia"/>
          <w:i/>
          <w:iCs/>
          <w:szCs w:val="20"/>
        </w:rPr>
        <w:t>ssbFrequency</w:t>
      </w:r>
      <w:proofErr w:type="spellEnd"/>
      <w:r>
        <w:rPr>
          <w:rFonts w:eastAsia="宋体" w:hint="eastAsia"/>
          <w:i/>
          <w:iCs/>
        </w:rPr>
        <w:t xml:space="preserve"> </w:t>
      </w:r>
      <w:r>
        <w:rPr>
          <w:rFonts w:eastAsia="宋体" w:hint="eastAsia"/>
        </w:rPr>
        <w:t xml:space="preserve">for SSB frequency, </w:t>
      </w:r>
      <w:proofErr w:type="spellStart"/>
      <w:r>
        <w:rPr>
          <w:rFonts w:eastAsia="宋体" w:hint="eastAsia"/>
          <w:i/>
          <w:iCs/>
          <w:lang w:eastAsia="sv-SE"/>
        </w:rPr>
        <w:t>ssbSubcarrierSpacing</w:t>
      </w:r>
      <w:proofErr w:type="spellEnd"/>
      <w:r>
        <w:rPr>
          <w:rFonts w:eastAsia="宋体" w:hint="eastAsia"/>
          <w:i/>
          <w:iCs/>
        </w:rPr>
        <w:t xml:space="preserve"> </w:t>
      </w:r>
      <w:r>
        <w:rPr>
          <w:rFonts w:eastAsia="宋体" w:hint="eastAsia"/>
        </w:rPr>
        <w:t xml:space="preserve">for SCS, and </w:t>
      </w:r>
      <w:proofErr w:type="spellStart"/>
      <w:r>
        <w:rPr>
          <w:rFonts w:eastAsia="宋体" w:hint="eastAsia"/>
          <w:i/>
          <w:iCs/>
        </w:rPr>
        <w:t>deriveSSB-IndexFromCell</w:t>
      </w:r>
      <w:proofErr w:type="spellEnd"/>
      <w:r>
        <w:rPr>
          <w:rFonts w:eastAsia="宋体" w:hint="eastAsia"/>
        </w:rPr>
        <w:t xml:space="preserve"> for SFN), </w:t>
      </w:r>
      <w:proofErr w:type="spellStart"/>
      <w:r>
        <w:rPr>
          <w:rFonts w:eastAsia="宋体"/>
          <w:i/>
          <w:iCs/>
          <w:szCs w:val="20"/>
        </w:rPr>
        <w:t>MeasObject</w:t>
      </w:r>
      <w:r>
        <w:rPr>
          <w:rFonts w:eastAsia="宋体" w:hint="eastAsia"/>
          <w:i/>
          <w:iCs/>
          <w:szCs w:val="20"/>
        </w:rPr>
        <w:t>Id</w:t>
      </w:r>
      <w:proofErr w:type="spellEnd"/>
      <w:r>
        <w:rPr>
          <w:rFonts w:eastAsia="宋体" w:hint="eastAsia"/>
          <w:szCs w:val="20"/>
        </w:rPr>
        <w:t xml:space="preserve"> (which used to identify </w:t>
      </w:r>
      <w:proofErr w:type="spellStart"/>
      <w:r>
        <w:rPr>
          <w:rFonts w:eastAsia="宋体" w:hint="eastAsia"/>
          <w:i/>
          <w:iCs/>
          <w:szCs w:val="20"/>
        </w:rPr>
        <w:t>MeasObjectNR</w:t>
      </w:r>
      <w:proofErr w:type="spellEnd"/>
      <w:r>
        <w:rPr>
          <w:rFonts w:eastAsia="宋体" w:hint="eastAsia"/>
          <w:szCs w:val="20"/>
        </w:rPr>
        <w:t>)</w:t>
      </w:r>
      <w:r>
        <w:rPr>
          <w:rFonts w:eastAsia="宋体" w:hint="eastAsia"/>
          <w:i/>
          <w:iCs/>
          <w:szCs w:val="20"/>
        </w:rPr>
        <w:t xml:space="preserve"> </w:t>
      </w:r>
      <w:r>
        <w:rPr>
          <w:rFonts w:eastAsia="宋体" w:hint="eastAsia"/>
          <w:szCs w:val="20"/>
        </w:rPr>
        <w:t xml:space="preserve">and PCI can be included in the new IE to determine </w:t>
      </w:r>
      <w:r>
        <w:rPr>
          <w:rFonts w:eastAsia="宋体"/>
          <w:szCs w:val="20"/>
        </w:rPr>
        <w:t>a</w:t>
      </w:r>
      <w:r>
        <w:rPr>
          <w:rFonts w:eastAsia="宋体" w:hint="eastAsia"/>
          <w:szCs w:val="20"/>
        </w:rPr>
        <w:t xml:space="preserve"> dedicated SSB from the desired non-serving cell </w:t>
      </w:r>
      <w:r>
        <w:rPr>
          <w:rFonts w:eastAsia="宋体"/>
          <w:szCs w:val="20"/>
        </w:rPr>
        <w:t>with</w:t>
      </w:r>
      <w:r>
        <w:rPr>
          <w:rFonts w:eastAsia="宋体" w:hint="eastAsia"/>
          <w:szCs w:val="20"/>
        </w:rPr>
        <w:t xml:space="preserve"> low spec</w:t>
      </w:r>
      <w:r>
        <w:rPr>
          <w:rFonts w:eastAsia="宋体"/>
          <w:szCs w:val="20"/>
        </w:rPr>
        <w:t>ification</w:t>
      </w:r>
      <w:r>
        <w:rPr>
          <w:rFonts w:eastAsia="宋体" w:hint="eastAsia"/>
          <w:szCs w:val="20"/>
        </w:rPr>
        <w:t xml:space="preserve"> effort. On the other hand, due to </w:t>
      </w:r>
      <w:proofErr w:type="spellStart"/>
      <w:r>
        <w:rPr>
          <w:rFonts w:eastAsia="宋体" w:hint="eastAsia"/>
          <w:i/>
          <w:iCs/>
          <w:szCs w:val="20"/>
        </w:rPr>
        <w:t>MeasObjectNR</w:t>
      </w:r>
      <w:proofErr w:type="spellEnd"/>
      <w:r>
        <w:rPr>
          <w:rFonts w:eastAsia="宋体" w:hint="eastAsia"/>
          <w:szCs w:val="20"/>
        </w:rPr>
        <w:t xml:space="preserve"> for mobility measurement are always configured in RRC connected state, and in order to avoid redundant measurement as well as ensure the </w:t>
      </w:r>
      <w:r>
        <w:rPr>
          <w:rFonts w:eastAsia="宋体" w:hint="eastAsia"/>
          <w:szCs w:val="20"/>
        </w:rPr>
        <w:t xml:space="preserve">performance, the selected non-serving cell should be one of the physical cell configured in </w:t>
      </w:r>
      <w:proofErr w:type="spellStart"/>
      <w:r>
        <w:rPr>
          <w:rFonts w:eastAsia="宋体" w:hint="eastAsia"/>
          <w:i/>
          <w:iCs/>
          <w:szCs w:val="20"/>
        </w:rPr>
        <w:t>MeasObjectNR</w:t>
      </w:r>
      <w:proofErr w:type="spellEnd"/>
      <w:r>
        <w:rPr>
          <w:rFonts w:eastAsia="宋体" w:hint="eastAsia"/>
          <w:szCs w:val="20"/>
        </w:rPr>
        <w:t xml:space="preserve">. Thus, it is efficient and </w:t>
      </w:r>
      <w:r>
        <w:rPr>
          <w:rFonts w:eastAsia="宋体"/>
          <w:szCs w:val="20"/>
        </w:rPr>
        <w:t>sufficient</w:t>
      </w:r>
      <w:r>
        <w:rPr>
          <w:rFonts w:eastAsia="宋体" w:hint="eastAsia"/>
          <w:szCs w:val="20"/>
        </w:rPr>
        <w:t xml:space="preserve"> to use </w:t>
      </w:r>
      <w:proofErr w:type="spellStart"/>
      <w:r>
        <w:rPr>
          <w:i/>
          <w:iCs/>
        </w:rPr>
        <w:t>MeasObjectId</w:t>
      </w:r>
      <w:proofErr w:type="spellEnd"/>
      <w:r>
        <w:rPr>
          <w:rFonts w:eastAsia="宋体" w:hint="eastAsia"/>
          <w:i/>
          <w:iCs/>
        </w:rPr>
        <w:t xml:space="preserve"> </w:t>
      </w:r>
      <w:r>
        <w:rPr>
          <w:rFonts w:eastAsia="宋体" w:hint="eastAsia"/>
        </w:rPr>
        <w:t>and PCI to provide the required non-serving information.</w:t>
      </w:r>
    </w:p>
    <w:p w:rsidR="008E1462" w:rsidRDefault="00C0295D">
      <w:pPr>
        <w:snapToGrid w:val="0"/>
        <w:spacing w:beforeLines="50" w:before="180"/>
        <w:jc w:val="both"/>
        <w:rPr>
          <w:i/>
          <w:iCs/>
        </w:rPr>
      </w:pPr>
      <w:r>
        <w:rPr>
          <w:rFonts w:hint="eastAsia"/>
          <w:b/>
          <w:bCs/>
          <w:i/>
          <w:iCs/>
        </w:rPr>
        <w:t xml:space="preserve">Proposal </w:t>
      </w:r>
      <w:r>
        <w:rPr>
          <w:rFonts w:eastAsia="宋体" w:hint="eastAsia"/>
          <w:b/>
          <w:bCs/>
          <w:i/>
          <w:iCs/>
        </w:rPr>
        <w:t>2</w:t>
      </w:r>
      <w:r>
        <w:rPr>
          <w:rFonts w:hint="eastAsia"/>
          <w:b/>
          <w:bCs/>
          <w:i/>
          <w:iCs/>
        </w:rPr>
        <w:t>:</w:t>
      </w:r>
      <w:r>
        <w:rPr>
          <w:rFonts w:hint="eastAsia"/>
          <w:i/>
          <w:iCs/>
        </w:rPr>
        <w:t xml:space="preserve"> Support to introduce a n</w:t>
      </w:r>
      <w:r>
        <w:rPr>
          <w:rFonts w:hint="eastAsia"/>
          <w:i/>
          <w:iCs/>
        </w:rPr>
        <w:t xml:space="preserve">ew RRC IE </w:t>
      </w:r>
      <w:r>
        <w:rPr>
          <w:rFonts w:eastAsia="宋体" w:hint="eastAsia"/>
          <w:i/>
          <w:iCs/>
        </w:rPr>
        <w:t xml:space="preserve">to </w:t>
      </w:r>
      <w:r>
        <w:rPr>
          <w:rFonts w:hint="eastAsia"/>
          <w:i/>
          <w:iCs/>
        </w:rPr>
        <w:t>link TCI states</w:t>
      </w:r>
      <w:r>
        <w:rPr>
          <w:rFonts w:eastAsia="宋体" w:hint="eastAsia"/>
          <w:i/>
          <w:iCs/>
        </w:rPr>
        <w:t xml:space="preserve"> with non-serving cell SSB information</w:t>
      </w:r>
      <w:r>
        <w:rPr>
          <w:rFonts w:hint="eastAsia"/>
          <w:i/>
          <w:iCs/>
        </w:rPr>
        <w:t>.</w:t>
      </w:r>
    </w:p>
    <w:p w:rsidR="008E1462" w:rsidRDefault="00C0295D">
      <w:pPr>
        <w:pStyle w:val="af8"/>
        <w:numPr>
          <w:ilvl w:val="0"/>
          <w:numId w:val="6"/>
        </w:numPr>
        <w:snapToGrid w:val="0"/>
        <w:ind w:leftChars="0" w:hanging="363"/>
        <w:jc w:val="both"/>
        <w:rPr>
          <w:rFonts w:cs="Times"/>
          <w:i/>
          <w:iCs/>
        </w:rPr>
      </w:pPr>
      <w:r>
        <w:rPr>
          <w:rFonts w:cs="Times" w:hint="eastAsia"/>
          <w:i/>
          <w:iCs/>
        </w:rPr>
        <w:t xml:space="preserve">At least </w:t>
      </w:r>
      <w:proofErr w:type="spellStart"/>
      <w:r>
        <w:rPr>
          <w:rFonts w:cs="Times"/>
          <w:i/>
          <w:iCs/>
        </w:rPr>
        <w:t>MeasObjectId</w:t>
      </w:r>
      <w:proofErr w:type="spellEnd"/>
      <w:r>
        <w:rPr>
          <w:rFonts w:cs="Times" w:hint="eastAsia"/>
          <w:i/>
          <w:iCs/>
        </w:rPr>
        <w:t xml:space="preserve"> and PCI </w:t>
      </w:r>
      <w:r>
        <w:rPr>
          <w:rFonts w:eastAsia="宋体" w:cs="Times" w:hint="eastAsia"/>
          <w:i/>
          <w:iCs/>
        </w:rPr>
        <w:t xml:space="preserve">of the non-serving cell SSB </w:t>
      </w:r>
      <w:r>
        <w:rPr>
          <w:rFonts w:cs="Times" w:hint="eastAsia"/>
          <w:i/>
          <w:iCs/>
        </w:rPr>
        <w:t xml:space="preserve">should be </w:t>
      </w:r>
      <w:r>
        <w:rPr>
          <w:rFonts w:eastAsia="宋体" w:cs="Times" w:hint="eastAsia"/>
          <w:i/>
          <w:iCs/>
        </w:rPr>
        <w:t xml:space="preserve">included </w:t>
      </w:r>
      <w:r>
        <w:rPr>
          <w:rFonts w:cs="Times" w:hint="eastAsia"/>
          <w:i/>
          <w:iCs/>
        </w:rPr>
        <w:t>in the new IE.</w:t>
      </w:r>
    </w:p>
    <w:p w:rsidR="008E1462" w:rsidRDefault="008E1462">
      <w:pPr>
        <w:pStyle w:val="af8"/>
        <w:numPr>
          <w:ilvl w:val="255"/>
          <w:numId w:val="0"/>
        </w:numPr>
        <w:snapToGrid w:val="0"/>
        <w:jc w:val="both"/>
        <w:rPr>
          <w:rFonts w:cs="Times"/>
          <w:i/>
          <w:iCs/>
        </w:rPr>
      </w:pPr>
    </w:p>
    <w:p w:rsidR="008E1462" w:rsidRDefault="00C0295D">
      <w:pPr>
        <w:pStyle w:val="2"/>
        <w:snapToGrid w:val="0"/>
        <w:jc w:val="both"/>
        <w:rPr>
          <w:rFonts w:ascii="Arial" w:hAnsi="Arial" w:cs="Arial"/>
          <w:szCs w:val="22"/>
          <w:lang w:val="en-US"/>
        </w:rPr>
      </w:pPr>
      <w:r>
        <w:rPr>
          <w:rFonts w:ascii="Arial" w:hAnsi="Arial" w:cs="Arial" w:hint="eastAsia"/>
          <w:szCs w:val="22"/>
          <w:lang w:val="en-US"/>
        </w:rPr>
        <w:lastRenderedPageBreak/>
        <w:t>Association of non-serving cell SSB information with TCI state</w:t>
      </w: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In RAN1#104b-e meeting, one non-</w:t>
      </w:r>
      <w:r>
        <w:rPr>
          <w:rFonts w:eastAsia="宋体" w:hint="eastAsia"/>
          <w:color w:val="000000" w:themeColor="text1"/>
          <w:szCs w:val="20"/>
        </w:rPr>
        <w:t xml:space="preserve">serving cell PCI per CC was agreed for inter-cell MTRP in non-CA operation. Moreover, it was agreed to further study whether/how many </w:t>
      </w:r>
      <w:proofErr w:type="spellStart"/>
      <w:proofErr w:type="gramStart"/>
      <w:r>
        <w:rPr>
          <w:rFonts w:eastAsia="宋体" w:hint="eastAsia"/>
          <w:i/>
          <w:iCs/>
          <w:color w:val="000000" w:themeColor="text1"/>
          <w:szCs w:val="20"/>
        </w:rPr>
        <w:t>CORESETPoolIndex</w:t>
      </w:r>
      <w:proofErr w:type="spellEnd"/>
      <w:r>
        <w:rPr>
          <w:rFonts w:eastAsia="宋体" w:hint="eastAsia"/>
          <w:color w:val="000000" w:themeColor="text1"/>
          <w:szCs w:val="20"/>
        </w:rPr>
        <w:t>(</w:t>
      </w:r>
      <w:proofErr w:type="spellStart"/>
      <w:proofErr w:type="gramEnd"/>
      <w:r>
        <w:rPr>
          <w:rFonts w:eastAsia="宋体" w:hint="eastAsia"/>
          <w:color w:val="000000" w:themeColor="text1"/>
          <w:szCs w:val="20"/>
        </w:rPr>
        <w:t>es</w:t>
      </w:r>
      <w:proofErr w:type="spellEnd"/>
      <w:r>
        <w:rPr>
          <w:rFonts w:eastAsia="宋体" w:hint="eastAsia"/>
          <w:color w:val="000000" w:themeColor="text1"/>
          <w:szCs w:val="20"/>
        </w:rPr>
        <w:t>) should be associated with non-serving cell PCI [2].</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1462">
        <w:tc>
          <w:tcPr>
            <w:tcW w:w="9576" w:type="dxa"/>
          </w:tcPr>
          <w:p w:rsidR="008E1462" w:rsidRDefault="00C0295D">
            <w:pPr>
              <w:snapToGrid w:val="0"/>
              <w:spacing w:beforeLines="50" w:before="180" w:afterLines="50" w:after="180"/>
              <w:jc w:val="both"/>
              <w:rPr>
                <w:rFonts w:eastAsiaTheme="minorEastAsia"/>
                <w:b/>
                <w:bCs/>
                <w:szCs w:val="20"/>
              </w:rPr>
            </w:pPr>
            <w:r>
              <w:rPr>
                <w:rFonts w:eastAsiaTheme="minorEastAsia" w:hint="eastAsia"/>
                <w:b/>
                <w:bCs/>
                <w:szCs w:val="20"/>
              </w:rPr>
              <w:t>RAN1 #104b-e</w:t>
            </w:r>
          </w:p>
          <w:p w:rsidR="008E1462" w:rsidRDefault="00C0295D">
            <w:pPr>
              <w:snapToGrid w:val="0"/>
              <w:spacing w:beforeLines="50" w:before="180"/>
              <w:jc w:val="both"/>
              <w:rPr>
                <w:b/>
                <w:i/>
                <w:iCs/>
                <w:u w:val="single"/>
              </w:rPr>
            </w:pPr>
            <w:r>
              <w:rPr>
                <w:b/>
                <w:i/>
                <w:iCs/>
                <w:u w:val="single"/>
                <w:lang w:val="en-GB"/>
              </w:rPr>
              <w:t>Agreement</w:t>
            </w:r>
          </w:p>
          <w:p w:rsidR="008E1462" w:rsidRDefault="00C0295D">
            <w:pPr>
              <w:snapToGrid w:val="0"/>
              <w:rPr>
                <w:i/>
                <w:iCs/>
                <w:szCs w:val="20"/>
              </w:rPr>
            </w:pPr>
            <w:r>
              <w:rPr>
                <w:i/>
                <w:iCs/>
                <w:szCs w:val="20"/>
              </w:rPr>
              <w:t xml:space="preserve">For </w:t>
            </w:r>
            <w:proofErr w:type="spellStart"/>
            <w:r>
              <w:rPr>
                <w:i/>
                <w:iCs/>
                <w:szCs w:val="20"/>
              </w:rPr>
              <w:t>intercell</w:t>
            </w:r>
            <w:proofErr w:type="spellEnd"/>
            <w:r>
              <w:rPr>
                <w:i/>
                <w:iCs/>
                <w:szCs w:val="20"/>
              </w:rPr>
              <w:t xml:space="preserve"> MTRP </w:t>
            </w:r>
            <w:r>
              <w:rPr>
                <w:i/>
                <w:iCs/>
                <w:szCs w:val="20"/>
              </w:rPr>
              <w:t>operation, 1 additional PCI different from the serving cell PCI is supported per CC</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The additional PCI is the one associated with one or more TCI states that are activated for [CSI-RS for CSI]/PDSCH/PDCCH, per CC.</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 xml:space="preserve">Applicable at least for non-cross carrier </w:t>
            </w:r>
            <w:r>
              <w:rPr>
                <w:i/>
                <w:iCs/>
                <w:szCs w:val="20"/>
              </w:rPr>
              <w:t>QCL indication</w:t>
            </w:r>
          </w:p>
          <w:p w:rsidR="008E1462" w:rsidRDefault="00C0295D">
            <w:pPr>
              <w:numPr>
                <w:ilvl w:val="1"/>
                <w:numId w:val="7"/>
              </w:numPr>
              <w:snapToGrid w:val="0"/>
              <w:rPr>
                <w:i/>
                <w:iCs/>
                <w:szCs w:val="20"/>
              </w:rPr>
            </w:pPr>
            <w:r>
              <w:rPr>
                <w:i/>
                <w:iCs/>
                <w:szCs w:val="20"/>
              </w:rPr>
              <w:t>FFS: Cross carrier scheduling QCL indication</w:t>
            </w:r>
          </w:p>
          <w:p w:rsidR="008E1462" w:rsidRDefault="00C0295D">
            <w:pPr>
              <w:snapToGrid w:val="0"/>
              <w:rPr>
                <w:i/>
                <w:iCs/>
                <w:szCs w:val="20"/>
              </w:rPr>
            </w:pPr>
            <w:r>
              <w:rPr>
                <w:i/>
                <w:iCs/>
                <w:szCs w:val="20"/>
              </w:rPr>
              <w:t>RAN1 to decide on the maximum number of PCIs different from the serving cell PCI per CC and/or across all CCs that can be RRC-configured for multi-DCI based inter-cell multi-TRP</w:t>
            </w:r>
          </w:p>
          <w:p w:rsidR="008E1462" w:rsidRDefault="00C0295D">
            <w:pPr>
              <w:snapToGrid w:val="0"/>
              <w:rPr>
                <w:i/>
                <w:iCs/>
                <w:szCs w:val="20"/>
              </w:rPr>
            </w:pPr>
            <w:r>
              <w:rPr>
                <w:i/>
                <w:iCs/>
                <w:szCs w:val="20"/>
              </w:rPr>
              <w:t>Above should be sp</w:t>
            </w:r>
            <w:r>
              <w:rPr>
                <w:i/>
                <w:iCs/>
                <w:szCs w:val="20"/>
              </w:rPr>
              <w:t>ecified by reusing R15 QCL rules as concluded in RAN1#104-e</w:t>
            </w:r>
          </w:p>
          <w:p w:rsidR="008E1462" w:rsidRDefault="00C0295D">
            <w:pPr>
              <w:snapToGrid w:val="0"/>
              <w:spacing w:beforeLines="50" w:before="180"/>
              <w:jc w:val="both"/>
              <w:rPr>
                <w:b/>
                <w:i/>
                <w:iCs/>
                <w:u w:val="single"/>
              </w:rPr>
            </w:pPr>
            <w:r>
              <w:rPr>
                <w:b/>
                <w:i/>
                <w:iCs/>
                <w:u w:val="single"/>
                <w:lang w:val="en-GB"/>
              </w:rPr>
              <w:t>Agreement</w:t>
            </w:r>
          </w:p>
          <w:p w:rsidR="008E1462" w:rsidRDefault="00C0295D">
            <w:pPr>
              <w:snapToGrid w:val="0"/>
              <w:rPr>
                <w:i/>
                <w:iCs/>
                <w:szCs w:val="20"/>
              </w:rPr>
            </w:pPr>
            <w:r>
              <w:rPr>
                <w:i/>
                <w:iCs/>
                <w:szCs w:val="20"/>
              </w:rPr>
              <w:t xml:space="preserve">For </w:t>
            </w:r>
            <w:proofErr w:type="spellStart"/>
            <w:r>
              <w:rPr>
                <w:i/>
                <w:iCs/>
                <w:szCs w:val="20"/>
              </w:rPr>
              <w:t>intercell</w:t>
            </w:r>
            <w:proofErr w:type="spellEnd"/>
            <w:r>
              <w:rPr>
                <w:i/>
                <w:iCs/>
                <w:szCs w:val="20"/>
              </w:rPr>
              <w:t xml:space="preserve"> MTRP operation, </w:t>
            </w:r>
            <w:proofErr w:type="spellStart"/>
            <w:r>
              <w:rPr>
                <w:i/>
                <w:iCs/>
                <w:szCs w:val="20"/>
              </w:rPr>
              <w:t>downselect</w:t>
            </w:r>
            <w:proofErr w:type="spellEnd"/>
            <w:r>
              <w:rPr>
                <w:i/>
                <w:iCs/>
                <w:szCs w:val="20"/>
              </w:rPr>
              <w:t xml:space="preserve"> one or more of the following alternatives in RAN1#105-e</w:t>
            </w:r>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Alt1: one PCI associated with one or more of activated TCI states for [PDSCH]/PDCCH can b</w:t>
            </w:r>
            <w:r>
              <w:rPr>
                <w:i/>
                <w:iCs/>
                <w:szCs w:val="20"/>
              </w:rPr>
              <w:t xml:space="preserve">e associated with only one </w:t>
            </w:r>
            <w:proofErr w:type="spellStart"/>
            <w:r>
              <w:rPr>
                <w:i/>
                <w:iCs/>
                <w:szCs w:val="20"/>
              </w:rPr>
              <w:t>CORESETPoolIndex</w:t>
            </w:r>
            <w:proofErr w:type="spellEnd"/>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 xml:space="preserve">Alt2: one PCI associated with one or more of activated TCI states for [PDSCH]/PDCCH can be associated with more than one </w:t>
            </w:r>
            <w:proofErr w:type="spellStart"/>
            <w:r>
              <w:rPr>
                <w:i/>
                <w:iCs/>
                <w:szCs w:val="20"/>
              </w:rPr>
              <w:t>CORESETPoolIndex</w:t>
            </w:r>
            <w:proofErr w:type="spellEnd"/>
          </w:p>
          <w:p w:rsidR="008E1462" w:rsidRDefault="00C0295D">
            <w:pPr>
              <w:pStyle w:val="af8"/>
              <w:numPr>
                <w:ilvl w:val="0"/>
                <w:numId w:val="5"/>
              </w:numPr>
              <w:shd w:val="clear" w:color="auto" w:fill="FFFFFF"/>
              <w:snapToGrid w:val="0"/>
              <w:spacing w:line="259" w:lineRule="auto"/>
              <w:ind w:leftChars="0"/>
              <w:contextualSpacing/>
              <w:rPr>
                <w:i/>
                <w:iCs/>
                <w:szCs w:val="20"/>
              </w:rPr>
            </w:pPr>
            <w:r>
              <w:rPr>
                <w:i/>
                <w:iCs/>
                <w:szCs w:val="20"/>
              </w:rPr>
              <w:t>Alt3: one PCI associated with TCI states for [PDSCH]/PDCCH via QCL relatio</w:t>
            </w:r>
            <w:r>
              <w:rPr>
                <w:i/>
                <w:iCs/>
                <w:szCs w:val="20"/>
              </w:rPr>
              <w:t xml:space="preserve">nship without association with </w:t>
            </w:r>
            <w:proofErr w:type="spellStart"/>
            <w:r>
              <w:rPr>
                <w:i/>
                <w:iCs/>
                <w:szCs w:val="20"/>
              </w:rPr>
              <w:t>CORESETPoolIndex</w:t>
            </w:r>
            <w:proofErr w:type="spellEnd"/>
          </w:p>
          <w:p w:rsidR="008E1462" w:rsidRDefault="00C0295D">
            <w:pPr>
              <w:snapToGrid w:val="0"/>
              <w:rPr>
                <w:i/>
                <w:iCs/>
                <w:szCs w:val="20"/>
              </w:rPr>
            </w:pPr>
            <w:r>
              <w:rPr>
                <w:i/>
                <w:iCs/>
                <w:szCs w:val="20"/>
              </w:rPr>
              <w:t>Note: This agreement is not related to the down-selection of one of the 5 options from RAN1#104-e</w:t>
            </w:r>
          </w:p>
          <w:p w:rsidR="008E1462" w:rsidRDefault="00C0295D">
            <w:pPr>
              <w:snapToGrid w:val="0"/>
              <w:rPr>
                <w:rFonts w:eastAsiaTheme="minorEastAsia"/>
                <w:szCs w:val="20"/>
              </w:rPr>
            </w:pPr>
            <w:r>
              <w:rPr>
                <w:i/>
                <w:iCs/>
                <w:szCs w:val="20"/>
              </w:rPr>
              <w:t>Note: Above should be specified by reusing Rel-15/Rel-16 QCL rules as concluded in RAN1#104-e</w:t>
            </w:r>
          </w:p>
        </w:tc>
      </w:tr>
    </w:tbl>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 xml:space="preserve">Firstly, it should be supported to associate non-serving cell PCI with </w:t>
      </w:r>
      <w:proofErr w:type="spellStart"/>
      <w:r>
        <w:rPr>
          <w:rFonts w:eastAsia="宋体" w:hint="eastAsia"/>
          <w:i/>
          <w:iCs/>
          <w:color w:val="000000" w:themeColor="text1"/>
          <w:szCs w:val="20"/>
        </w:rPr>
        <w:t>CORESETPoolIndex</w:t>
      </w:r>
      <w:proofErr w:type="spellEnd"/>
      <w:r>
        <w:rPr>
          <w:rFonts w:eastAsia="宋体" w:hint="eastAsia"/>
          <w:i/>
          <w:iCs/>
          <w:color w:val="000000" w:themeColor="text1"/>
          <w:szCs w:val="20"/>
        </w:rPr>
        <w:t xml:space="preserve">. </w:t>
      </w:r>
      <w:r>
        <w:rPr>
          <w:rFonts w:eastAsia="宋体" w:hint="eastAsia"/>
          <w:color w:val="000000" w:themeColor="text1"/>
          <w:szCs w:val="20"/>
        </w:rPr>
        <w:t>Note that it was endorsed in RAN#92-e that QCL/TCI related enhancement to enable inter-cell MTRP operation should be based on MDCI based MTRP scheme with Rel-15/16 TCI</w:t>
      </w:r>
      <w:r>
        <w:rPr>
          <w:rFonts w:eastAsia="宋体" w:hint="eastAsia"/>
          <w:color w:val="000000" w:themeColor="text1"/>
          <w:szCs w:val="20"/>
        </w:rPr>
        <w:t xml:space="preserve"> framework. </w:t>
      </w:r>
      <w:proofErr w:type="spellStart"/>
      <w:r>
        <w:rPr>
          <w:rFonts w:eastAsia="宋体" w:hint="eastAsia"/>
          <w:i/>
          <w:iCs/>
          <w:color w:val="000000" w:themeColor="text1"/>
          <w:szCs w:val="20"/>
        </w:rPr>
        <w:t>CORESETPoolIndex</w:t>
      </w:r>
      <w:proofErr w:type="spellEnd"/>
      <w:r>
        <w:rPr>
          <w:rFonts w:eastAsia="宋体" w:hint="eastAsia"/>
          <w:color w:val="000000" w:themeColor="text1"/>
          <w:szCs w:val="20"/>
        </w:rPr>
        <w:t xml:space="preserve"> was introduced in Rel-16 to support TRP specific </w:t>
      </w:r>
      <w:r>
        <w:rPr>
          <w:rFonts w:eastAsia="宋体"/>
          <w:color w:val="000000" w:themeColor="text1"/>
          <w:szCs w:val="20"/>
        </w:rPr>
        <w:t>configurations</w:t>
      </w:r>
      <w:r>
        <w:rPr>
          <w:rFonts w:eastAsia="宋体" w:hint="eastAsia"/>
          <w:color w:val="000000" w:themeColor="text1"/>
          <w:szCs w:val="20"/>
        </w:rPr>
        <w:t xml:space="preserve"> for </w:t>
      </w:r>
      <w:r>
        <w:rPr>
          <w:rFonts w:eastAsia="宋体"/>
          <w:color w:val="000000" w:themeColor="text1"/>
          <w:szCs w:val="20"/>
        </w:rPr>
        <w:t xml:space="preserve">multi-DCI based </w:t>
      </w:r>
      <w:r>
        <w:rPr>
          <w:rFonts w:eastAsia="宋体" w:hint="eastAsia"/>
          <w:color w:val="000000" w:themeColor="text1"/>
          <w:szCs w:val="20"/>
        </w:rPr>
        <w:t>Multi-TRP</w:t>
      </w:r>
      <w:r>
        <w:rPr>
          <w:rFonts w:eastAsia="宋体"/>
          <w:color w:val="000000" w:themeColor="text1"/>
          <w:szCs w:val="20"/>
        </w:rPr>
        <w:t xml:space="preserve">, such as </w:t>
      </w:r>
      <w:r>
        <w:rPr>
          <w:rFonts w:eastAsia="宋体" w:hint="eastAsia"/>
          <w:color w:val="000000" w:themeColor="text1"/>
          <w:szCs w:val="20"/>
        </w:rPr>
        <w:t xml:space="preserve">HARQ-ACK, data scrambling, default beam, power control, etc. Where, </w:t>
      </w:r>
      <w:proofErr w:type="spellStart"/>
      <w:r>
        <w:rPr>
          <w:rFonts w:eastAsia="宋体" w:hint="eastAsia"/>
          <w:i/>
          <w:iCs/>
          <w:color w:val="000000" w:themeColor="text1"/>
          <w:szCs w:val="20"/>
        </w:rPr>
        <w:t>CORESETPoolIndex</w:t>
      </w:r>
      <w:proofErr w:type="spellEnd"/>
      <w:r>
        <w:rPr>
          <w:rFonts w:eastAsia="宋体"/>
          <w:color w:val="000000" w:themeColor="text1"/>
          <w:szCs w:val="20"/>
        </w:rPr>
        <w:t xml:space="preserve"> value 0 and 1 </w:t>
      </w:r>
      <w:r>
        <w:rPr>
          <w:rFonts w:eastAsia="宋体" w:hint="eastAsia"/>
          <w:color w:val="000000" w:themeColor="text1"/>
          <w:szCs w:val="20"/>
        </w:rPr>
        <w:t>corres</w:t>
      </w:r>
      <w:r>
        <w:rPr>
          <w:rFonts w:eastAsia="宋体"/>
          <w:color w:val="000000" w:themeColor="text1"/>
          <w:szCs w:val="20"/>
        </w:rPr>
        <w:t>pond to TRP</w:t>
      </w:r>
      <w:r>
        <w:rPr>
          <w:rFonts w:eastAsia="宋体" w:hint="eastAsia"/>
          <w:color w:val="000000" w:themeColor="text1"/>
          <w:szCs w:val="20"/>
        </w:rPr>
        <w:t>#</w:t>
      </w:r>
      <w:r>
        <w:rPr>
          <w:rFonts w:eastAsia="宋体"/>
          <w:color w:val="000000" w:themeColor="text1"/>
          <w:szCs w:val="20"/>
        </w:rPr>
        <w:t xml:space="preserve">0 and </w:t>
      </w:r>
      <w:r>
        <w:rPr>
          <w:rFonts w:eastAsia="宋体"/>
          <w:color w:val="000000" w:themeColor="text1"/>
          <w:szCs w:val="20"/>
        </w:rPr>
        <w:t>TRP</w:t>
      </w:r>
      <w:r>
        <w:rPr>
          <w:rFonts w:eastAsia="宋体" w:hint="eastAsia"/>
          <w:color w:val="000000" w:themeColor="text1"/>
          <w:szCs w:val="20"/>
        </w:rPr>
        <w:t>#</w:t>
      </w:r>
      <w:r>
        <w:rPr>
          <w:rFonts w:eastAsia="宋体"/>
          <w:color w:val="000000" w:themeColor="text1"/>
          <w:szCs w:val="20"/>
        </w:rPr>
        <w:t>1 respectively based on Rel-16 conception.</w:t>
      </w:r>
      <w:r>
        <w:rPr>
          <w:rFonts w:eastAsia="宋体" w:hint="eastAsia"/>
          <w:color w:val="000000" w:themeColor="text1"/>
          <w:szCs w:val="20"/>
        </w:rPr>
        <w:t xml:space="preserve"> Likewise, to support inter-cell MTRP operation in Rel-17, </w:t>
      </w:r>
      <w:proofErr w:type="spellStart"/>
      <w:r>
        <w:rPr>
          <w:rFonts w:eastAsia="宋体" w:hint="eastAsia"/>
          <w:i/>
          <w:iCs/>
          <w:color w:val="000000" w:themeColor="text1"/>
          <w:szCs w:val="20"/>
        </w:rPr>
        <w:t>CORESETPoolIndex</w:t>
      </w:r>
      <w:proofErr w:type="spellEnd"/>
      <w:r>
        <w:rPr>
          <w:rFonts w:eastAsia="宋体" w:hint="eastAsia"/>
          <w:i/>
          <w:iCs/>
          <w:color w:val="000000" w:themeColor="text1"/>
          <w:szCs w:val="20"/>
        </w:rPr>
        <w:t xml:space="preserve"> </w:t>
      </w:r>
      <w:r>
        <w:rPr>
          <w:rFonts w:eastAsia="宋体"/>
          <w:color w:val="000000" w:themeColor="text1"/>
          <w:szCs w:val="20"/>
        </w:rPr>
        <w:t>should</w:t>
      </w:r>
      <w:r>
        <w:rPr>
          <w:rFonts w:eastAsia="宋体" w:hint="eastAsia"/>
          <w:color w:val="000000" w:themeColor="text1"/>
          <w:szCs w:val="20"/>
        </w:rPr>
        <w:t xml:space="preserve"> be associated with the TCI groups </w:t>
      </w:r>
      <w:r>
        <w:rPr>
          <w:rFonts w:eastAsia="宋体"/>
          <w:color w:val="000000" w:themeColor="text1"/>
          <w:szCs w:val="20"/>
        </w:rPr>
        <w:t>to provide UE the information of how to associate different PCIs/TCI states with those TRP</w:t>
      </w:r>
      <w:r>
        <w:rPr>
          <w:rFonts w:eastAsia="宋体" w:hint="eastAsia"/>
          <w:color w:val="000000" w:themeColor="text1"/>
          <w:szCs w:val="20"/>
        </w:rPr>
        <w:t xml:space="preserve"> </w:t>
      </w:r>
      <w:r>
        <w:rPr>
          <w:rFonts w:eastAsia="宋体"/>
          <w:color w:val="000000" w:themeColor="text1"/>
          <w:szCs w:val="20"/>
        </w:rPr>
        <w:t>sp</w:t>
      </w:r>
      <w:r>
        <w:rPr>
          <w:rFonts w:eastAsia="宋体"/>
          <w:color w:val="000000" w:themeColor="text1"/>
          <w:szCs w:val="20"/>
        </w:rPr>
        <w:t>ecific parameters</w:t>
      </w:r>
      <w:r>
        <w:rPr>
          <w:rFonts w:eastAsia="宋体" w:hint="eastAsia"/>
          <w:color w:val="000000" w:themeColor="text1"/>
          <w:szCs w:val="20"/>
        </w:rPr>
        <w:t xml:space="preserve">, </w:t>
      </w:r>
      <w:r>
        <w:rPr>
          <w:rFonts w:eastAsia="宋体"/>
          <w:color w:val="000000" w:themeColor="text1"/>
          <w:szCs w:val="20"/>
        </w:rPr>
        <w:t>especially for non-ideal back</w:t>
      </w:r>
      <w:r>
        <w:rPr>
          <w:rFonts w:eastAsia="宋体" w:hint="eastAsia"/>
          <w:color w:val="000000" w:themeColor="text1"/>
          <w:szCs w:val="20"/>
        </w:rPr>
        <w:t>-</w:t>
      </w:r>
      <w:r>
        <w:rPr>
          <w:rFonts w:eastAsia="宋体"/>
          <w:color w:val="000000" w:themeColor="text1"/>
          <w:szCs w:val="20"/>
        </w:rPr>
        <w:t>haul between two TRPs which is the most typical scenario for multi-DCI based MTRP operation</w:t>
      </w:r>
      <w:r>
        <w:rPr>
          <w:rFonts w:eastAsia="宋体" w:hint="eastAsia"/>
          <w:color w:val="000000" w:themeColor="text1"/>
          <w:szCs w:val="20"/>
        </w:rPr>
        <w:t>. However</w:t>
      </w:r>
      <w:r>
        <w:rPr>
          <w:rFonts w:eastAsia="宋体"/>
          <w:color w:val="000000" w:themeColor="text1"/>
          <w:szCs w:val="20"/>
        </w:rPr>
        <w:t xml:space="preserve">, if multiple PDSCH/PDCCH transmissions corresponding to the same </w:t>
      </w:r>
      <w:proofErr w:type="spellStart"/>
      <w:r>
        <w:rPr>
          <w:rFonts w:eastAsia="宋体" w:hint="eastAsia"/>
          <w:i/>
          <w:iCs/>
          <w:color w:val="000000" w:themeColor="text1"/>
          <w:szCs w:val="20"/>
        </w:rPr>
        <w:t>CORESETPoolIndex</w:t>
      </w:r>
      <w:proofErr w:type="spellEnd"/>
      <w:r>
        <w:rPr>
          <w:rFonts w:eastAsia="宋体"/>
          <w:color w:val="000000" w:themeColor="text1"/>
          <w:szCs w:val="20"/>
        </w:rPr>
        <w:t xml:space="preserve"> value are indicated with</w:t>
      </w:r>
      <w:r>
        <w:rPr>
          <w:rFonts w:eastAsia="宋体"/>
          <w:color w:val="000000" w:themeColor="text1"/>
          <w:szCs w:val="20"/>
        </w:rPr>
        <w:t xml:space="preserve"> TCI states from both serving cell and non-serving cell, </w:t>
      </w:r>
      <w:r>
        <w:rPr>
          <w:rFonts w:eastAsia="宋体" w:hint="eastAsia"/>
          <w:color w:val="000000" w:themeColor="text1"/>
          <w:szCs w:val="20"/>
        </w:rPr>
        <w:t xml:space="preserve">then </w:t>
      </w:r>
      <w:r>
        <w:rPr>
          <w:rFonts w:eastAsia="宋体"/>
          <w:color w:val="000000" w:themeColor="text1"/>
          <w:szCs w:val="20"/>
        </w:rPr>
        <w:t>HARQ-ACK feedback towards to serving cell and non-serving cell will be mixe</w:t>
      </w:r>
      <w:r>
        <w:rPr>
          <w:rFonts w:eastAsia="宋体" w:hint="eastAsia"/>
          <w:color w:val="000000" w:themeColor="text1"/>
          <w:szCs w:val="20"/>
        </w:rPr>
        <w:t xml:space="preserve">d, as well as the rule on TRP specific out-of-order of PDCCH-to-PDSCH and/or PDCCH-to-PUCCH </w:t>
      </w:r>
      <w:r>
        <w:rPr>
          <w:rFonts w:eastAsia="宋体"/>
          <w:color w:val="000000" w:themeColor="text1"/>
          <w:szCs w:val="20"/>
        </w:rPr>
        <w:t>may not be sustained</w:t>
      </w:r>
      <w:r>
        <w:rPr>
          <w:rFonts w:eastAsia="宋体" w:hint="eastAsia"/>
          <w:color w:val="000000" w:themeColor="text1"/>
          <w:szCs w:val="20"/>
        </w:rPr>
        <w:t>. There</w:t>
      </w:r>
      <w:r>
        <w:rPr>
          <w:rFonts w:eastAsia="宋体" w:hint="eastAsia"/>
          <w:color w:val="000000" w:themeColor="text1"/>
          <w:szCs w:val="20"/>
        </w:rPr>
        <w:t xml:space="preserve">fore, it makes sense to associate </w:t>
      </w:r>
      <w:proofErr w:type="spellStart"/>
      <w:r>
        <w:rPr>
          <w:rFonts w:eastAsia="宋体" w:hint="eastAsia"/>
          <w:i/>
          <w:iCs/>
          <w:color w:val="000000" w:themeColor="text1"/>
          <w:szCs w:val="20"/>
        </w:rPr>
        <w:t>CORESETPoolIndex</w:t>
      </w:r>
      <w:proofErr w:type="spellEnd"/>
      <w:r>
        <w:rPr>
          <w:rFonts w:eastAsia="宋体"/>
          <w:color w:val="000000" w:themeColor="text1"/>
          <w:szCs w:val="20"/>
        </w:rPr>
        <w:t xml:space="preserve"> </w:t>
      </w:r>
      <w:r>
        <w:rPr>
          <w:rFonts w:eastAsia="宋体" w:hint="eastAsia"/>
          <w:color w:val="000000" w:themeColor="text1"/>
          <w:szCs w:val="20"/>
        </w:rPr>
        <w:t xml:space="preserve">with non-serving cell PCI for </w:t>
      </w:r>
      <w:r>
        <w:rPr>
          <w:rFonts w:eastAsia="宋体"/>
          <w:color w:val="000000" w:themeColor="text1"/>
          <w:szCs w:val="20"/>
          <w:lang w:val="en-GB"/>
        </w:rPr>
        <w:t>TRP differentiation</w:t>
      </w:r>
      <w:r>
        <w:rPr>
          <w:rFonts w:eastAsia="宋体" w:hint="eastAsia"/>
          <w:color w:val="000000" w:themeColor="text1"/>
          <w:szCs w:val="20"/>
        </w:rPr>
        <w:t>.</w:t>
      </w:r>
    </w:p>
    <w:p w:rsidR="008E1462" w:rsidRDefault="00C0295D">
      <w:pPr>
        <w:snapToGrid w:val="0"/>
        <w:spacing w:beforeLines="50" w:before="180" w:afterLines="50" w:after="180"/>
        <w:jc w:val="both"/>
        <w:rPr>
          <w:rFonts w:eastAsia="宋体"/>
          <w:szCs w:val="20"/>
        </w:rPr>
      </w:pPr>
      <w:r>
        <w:rPr>
          <w:rFonts w:eastAsia="宋体" w:hint="eastAsia"/>
          <w:color w:val="000000" w:themeColor="text1"/>
          <w:szCs w:val="20"/>
        </w:rPr>
        <w:t xml:space="preserve">Secondly, due to inter-cell MTRP operation is based on Rel-16 MDCI MTRP scheme, it means at most two TRPs can be used for DL/UL transmission in this scenario. Then, it can be natural that one out of the two TRPs </w:t>
      </w:r>
      <w:r>
        <w:rPr>
          <w:rFonts w:eastAsia="宋体"/>
          <w:color w:val="000000" w:themeColor="text1"/>
          <w:szCs w:val="20"/>
        </w:rPr>
        <w:t xml:space="preserve">is </w:t>
      </w:r>
      <w:r>
        <w:rPr>
          <w:rFonts w:eastAsia="宋体" w:hint="eastAsia"/>
          <w:color w:val="000000" w:themeColor="text1"/>
          <w:szCs w:val="20"/>
        </w:rPr>
        <w:t>deployed in a serving cell, and the other</w:t>
      </w:r>
      <w:r>
        <w:rPr>
          <w:rFonts w:eastAsia="宋体" w:hint="eastAsia"/>
          <w:color w:val="000000" w:themeColor="text1"/>
          <w:szCs w:val="20"/>
        </w:rPr>
        <w:t xml:space="preserve"> </w:t>
      </w:r>
      <w:r>
        <w:rPr>
          <w:rFonts w:eastAsia="宋体"/>
          <w:color w:val="000000" w:themeColor="text1"/>
          <w:szCs w:val="20"/>
        </w:rPr>
        <w:t>is</w:t>
      </w:r>
      <w:r>
        <w:rPr>
          <w:rFonts w:eastAsia="宋体" w:hint="eastAsia"/>
          <w:color w:val="000000" w:themeColor="text1"/>
          <w:szCs w:val="20"/>
        </w:rPr>
        <w:t xml:space="preserve"> deployed in a non-serving cell. Based on that, all TCI states should be split into two groups, and </w:t>
      </w:r>
      <w:r>
        <w:rPr>
          <w:rFonts w:eastAsia="宋体"/>
          <w:color w:val="000000" w:themeColor="text1"/>
          <w:szCs w:val="20"/>
        </w:rPr>
        <w:t>each of them is</w:t>
      </w:r>
      <w:r>
        <w:rPr>
          <w:rFonts w:eastAsia="宋体" w:hint="eastAsia"/>
          <w:color w:val="000000" w:themeColor="text1"/>
          <w:szCs w:val="20"/>
        </w:rPr>
        <w:t xml:space="preserve"> </w:t>
      </w:r>
      <w:r>
        <w:rPr>
          <w:rFonts w:eastAsia="宋体"/>
          <w:color w:val="000000" w:themeColor="text1"/>
          <w:szCs w:val="20"/>
        </w:rPr>
        <w:t xml:space="preserve">either </w:t>
      </w:r>
      <w:r>
        <w:rPr>
          <w:rFonts w:eastAsia="宋体" w:hint="eastAsia"/>
          <w:color w:val="000000" w:themeColor="text1"/>
          <w:szCs w:val="20"/>
        </w:rPr>
        <w:t xml:space="preserve">associated with serving cell </w:t>
      </w:r>
      <w:r>
        <w:rPr>
          <w:rFonts w:eastAsia="宋体"/>
          <w:color w:val="000000" w:themeColor="text1"/>
          <w:szCs w:val="20"/>
        </w:rPr>
        <w:t>or</w:t>
      </w:r>
      <w:r>
        <w:rPr>
          <w:rFonts w:eastAsia="宋体" w:hint="eastAsia"/>
          <w:color w:val="000000" w:themeColor="text1"/>
          <w:szCs w:val="20"/>
        </w:rPr>
        <w:t xml:space="preserve"> </w:t>
      </w:r>
      <w:r>
        <w:rPr>
          <w:rFonts w:eastAsia="宋体" w:hint="eastAsia"/>
          <w:szCs w:val="20"/>
        </w:rPr>
        <w:t xml:space="preserve">non-serving </w:t>
      </w:r>
      <w:r>
        <w:rPr>
          <w:rFonts w:eastAsia="宋体" w:hint="eastAsia"/>
          <w:color w:val="000000" w:themeColor="text1"/>
          <w:szCs w:val="20"/>
        </w:rPr>
        <w:t>cell.</w:t>
      </w: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 xml:space="preserve">In the light of the above discussion, it makes sense to support Alt. 1 that one </w:t>
      </w:r>
      <w:r>
        <w:rPr>
          <w:rFonts w:eastAsia="宋体" w:hint="eastAsia"/>
          <w:color w:val="000000" w:themeColor="text1"/>
          <w:szCs w:val="20"/>
        </w:rPr>
        <w:t xml:space="preserve">PCI can be associated with only one </w:t>
      </w:r>
      <w:proofErr w:type="spellStart"/>
      <w:r>
        <w:rPr>
          <w:rFonts w:eastAsia="宋体" w:hint="eastAsia"/>
          <w:i/>
          <w:iCs/>
          <w:color w:val="000000" w:themeColor="text1"/>
          <w:szCs w:val="20"/>
        </w:rPr>
        <w:t>CORESETPoolIndex</w:t>
      </w:r>
      <w:proofErr w:type="spellEnd"/>
      <w:r>
        <w:rPr>
          <w:rFonts w:eastAsia="宋体" w:hint="eastAsia"/>
          <w:i/>
          <w:iCs/>
          <w:color w:val="000000" w:themeColor="text1"/>
          <w:szCs w:val="20"/>
        </w:rPr>
        <w:t xml:space="preserve"> </w:t>
      </w:r>
      <w:r>
        <w:rPr>
          <w:rFonts w:eastAsia="宋体" w:hint="eastAsia"/>
          <w:color w:val="000000" w:themeColor="text1"/>
          <w:szCs w:val="20"/>
        </w:rPr>
        <w:t>for inter-cell operation.</w:t>
      </w:r>
    </w:p>
    <w:p w:rsidR="008E1462" w:rsidRDefault="00C0295D">
      <w:pPr>
        <w:snapToGrid w:val="0"/>
        <w:spacing w:beforeLines="50" w:before="180"/>
        <w:jc w:val="both"/>
        <w:rPr>
          <w:rFonts w:eastAsia="宋体"/>
          <w:i/>
          <w:iCs/>
          <w:color w:val="000000" w:themeColor="text1"/>
          <w:szCs w:val="20"/>
        </w:rPr>
      </w:pPr>
      <w:r>
        <w:rPr>
          <w:rFonts w:eastAsia="宋体" w:hint="eastAsia"/>
          <w:b/>
          <w:bCs/>
          <w:i/>
          <w:iCs/>
          <w:szCs w:val="20"/>
        </w:rPr>
        <w:t>Proposal 3:</w:t>
      </w:r>
      <w:r>
        <w:rPr>
          <w:rFonts w:eastAsia="宋体" w:hint="eastAsia"/>
          <w:i/>
          <w:iCs/>
          <w:szCs w:val="20"/>
        </w:rPr>
        <w:t xml:space="preserve"> For inter-cell MTRP operation, </w:t>
      </w:r>
      <w:r>
        <w:rPr>
          <w:rFonts w:eastAsia="宋体"/>
          <w:i/>
          <w:iCs/>
          <w:szCs w:val="20"/>
        </w:rPr>
        <w:t xml:space="preserve">one PCI associated with one or more of activated TCI states for [PDSCH]/PDCCH can be associated with only one </w:t>
      </w:r>
      <w:proofErr w:type="spellStart"/>
      <w:r>
        <w:rPr>
          <w:rFonts w:eastAsia="宋体"/>
          <w:i/>
          <w:iCs/>
          <w:szCs w:val="20"/>
        </w:rPr>
        <w:t>CORESETPoolIndex</w:t>
      </w:r>
      <w:proofErr w:type="spellEnd"/>
      <w:r>
        <w:rPr>
          <w:rFonts w:eastAsia="宋体" w:hint="eastAsia"/>
          <w:i/>
          <w:iCs/>
          <w:szCs w:val="20"/>
        </w:rPr>
        <w:t>.</w:t>
      </w:r>
      <w:r>
        <w:rPr>
          <w:rFonts w:eastAsia="宋体" w:hint="eastAsia"/>
          <w:b/>
          <w:bCs/>
          <w:i/>
          <w:iCs/>
          <w:szCs w:val="20"/>
        </w:rPr>
        <w:t xml:space="preserve"> </w:t>
      </w:r>
      <w:r>
        <w:rPr>
          <w:rFonts w:eastAsia="宋体"/>
          <w:i/>
          <w:iCs/>
          <w:color w:val="000000" w:themeColor="text1"/>
          <w:szCs w:val="20"/>
        </w:rPr>
        <w:t xml:space="preserve">(Alt. </w:t>
      </w:r>
      <w:r>
        <w:rPr>
          <w:rFonts w:eastAsia="宋体"/>
          <w:i/>
          <w:iCs/>
          <w:color w:val="000000" w:themeColor="text1"/>
          <w:szCs w:val="20"/>
        </w:rPr>
        <w:t>1)</w:t>
      </w:r>
    </w:p>
    <w:p w:rsidR="008E1462" w:rsidRDefault="008E1462">
      <w:pPr>
        <w:snapToGrid w:val="0"/>
        <w:spacing w:beforeLines="50" w:before="180"/>
        <w:jc w:val="both"/>
        <w:rPr>
          <w:rFonts w:eastAsia="宋体"/>
          <w:i/>
          <w:iCs/>
          <w:color w:val="000000" w:themeColor="text1"/>
          <w:szCs w:val="20"/>
        </w:rPr>
      </w:pP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lastRenderedPageBreak/>
        <w:t>In RAN1#104-e, five options were listed to further discuss how to associate non-serving cell information with TCI state [1].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1462">
        <w:tc>
          <w:tcPr>
            <w:tcW w:w="9576" w:type="dxa"/>
          </w:tcPr>
          <w:p w:rsidR="008E1462" w:rsidRDefault="00C0295D">
            <w:pPr>
              <w:snapToGrid w:val="0"/>
              <w:spacing w:beforeLines="50" w:before="180" w:afterLines="50" w:after="180"/>
              <w:jc w:val="both"/>
              <w:rPr>
                <w:rFonts w:eastAsiaTheme="minorEastAsia"/>
                <w:b/>
                <w:bCs/>
                <w:szCs w:val="20"/>
              </w:rPr>
            </w:pPr>
            <w:r>
              <w:rPr>
                <w:rFonts w:eastAsiaTheme="minorEastAsia" w:hint="eastAsia"/>
                <w:b/>
                <w:bCs/>
                <w:szCs w:val="20"/>
              </w:rPr>
              <w:t>RAN1 #104-e</w:t>
            </w:r>
          </w:p>
          <w:p w:rsidR="008E1462" w:rsidRDefault="00C0295D">
            <w:pPr>
              <w:snapToGrid w:val="0"/>
              <w:spacing w:beforeLines="50" w:before="180"/>
              <w:jc w:val="both"/>
              <w:rPr>
                <w:b/>
                <w:i/>
                <w:iCs/>
                <w:u w:val="single"/>
              </w:rPr>
            </w:pPr>
            <w:r>
              <w:rPr>
                <w:b/>
                <w:i/>
                <w:iCs/>
                <w:u w:val="single"/>
                <w:lang w:val="en-GB"/>
              </w:rPr>
              <w:t>Agreement</w:t>
            </w:r>
          </w:p>
          <w:p w:rsidR="008E1462" w:rsidRDefault="00C0295D">
            <w:pPr>
              <w:shd w:val="clear" w:color="auto" w:fill="FFFFFF"/>
              <w:snapToGrid w:val="0"/>
              <w:rPr>
                <w:i/>
                <w:iCs/>
                <w:szCs w:val="20"/>
              </w:rPr>
            </w:pPr>
            <w:r>
              <w:rPr>
                <w:i/>
                <w:iCs/>
                <w:szCs w:val="20"/>
              </w:rPr>
              <w:t>For inter-cell MTRP operation,</w:t>
            </w:r>
            <w:r>
              <w:rPr>
                <w:rFonts w:hint="eastAsia"/>
                <w:i/>
                <w:iCs/>
                <w:szCs w:val="20"/>
              </w:rPr>
              <w:t xml:space="preserve"> f</w:t>
            </w:r>
            <w:r>
              <w:rPr>
                <w:i/>
                <w:iCs/>
                <w:szCs w:val="20"/>
              </w:rPr>
              <w:t>urther discuss following options and down select in RAN1#104bis-e</w:t>
            </w:r>
          </w:p>
          <w:p w:rsidR="008E1462" w:rsidRDefault="00C0295D">
            <w:pPr>
              <w:shd w:val="clear" w:color="auto" w:fill="FFFFFF"/>
              <w:snapToGrid w:val="0"/>
              <w:rPr>
                <w:i/>
                <w:iCs/>
                <w:szCs w:val="20"/>
              </w:rPr>
            </w:pPr>
            <w:r>
              <w:rPr>
                <w:rFonts w:eastAsia="宋体"/>
                <w:b/>
                <w:i/>
                <w:iCs/>
                <w:color w:val="000000"/>
                <w:szCs w:val="20"/>
                <w:shd w:val="clear" w:color="auto" w:fill="FFFFFF"/>
                <w:lang w:bidi="ar"/>
              </w:rPr>
              <w:t>Option</w:t>
            </w:r>
            <w:r>
              <w:rPr>
                <w:rFonts w:eastAsia="宋体"/>
                <w:b/>
                <w:i/>
                <w:iCs/>
                <w:szCs w:val="20"/>
                <w:shd w:val="clear" w:color="auto" w:fill="FFFFFF"/>
                <w:lang w:bidi="ar"/>
              </w:rPr>
              <w:t>1:</w:t>
            </w:r>
            <w:r>
              <w:rPr>
                <w:rStyle w:val="apple-converted-space"/>
                <w:rFonts w:eastAsia="宋体"/>
                <w:b/>
                <w:i/>
                <w:iCs/>
                <w:szCs w:val="20"/>
                <w:shd w:val="clear" w:color="auto" w:fill="FFFFFF"/>
                <w:lang w:bidi="ar"/>
              </w:rPr>
              <w:t> </w:t>
            </w:r>
            <w:r>
              <w:rPr>
                <w:rFonts w:eastAsia="宋体"/>
                <w:i/>
                <w:iCs/>
                <w:szCs w:val="20"/>
                <w:shd w:val="clear" w:color="auto" w:fill="FFFFFF"/>
                <w:lang w:bidi="ar"/>
              </w:rPr>
              <w:t>Indicate/associate</w:t>
            </w:r>
            <w:r>
              <w:rPr>
                <w:rStyle w:val="apple-converted-space"/>
                <w:rFonts w:eastAsia="宋体"/>
                <w:i/>
                <w:iCs/>
                <w:szCs w:val="20"/>
                <w:shd w:val="clear" w:color="auto" w:fill="FFFFFF"/>
                <w:lang w:bidi="ar"/>
              </w:rPr>
              <w:t> </w:t>
            </w:r>
            <w:r>
              <w:rPr>
                <w:rFonts w:eastAsia="宋体"/>
                <w:i/>
                <w:iCs/>
                <w:szCs w:val="20"/>
                <w:shd w:val="clear" w:color="auto" w:fill="FFFFFF"/>
                <w:lang w:bidi="ar"/>
              </w:rPr>
              <w:t>non-serving cell PCI in the TCI state</w:t>
            </w:r>
          </w:p>
          <w:p w:rsidR="008E1462" w:rsidRDefault="00C0295D">
            <w:pPr>
              <w:pStyle w:val="af"/>
              <w:shd w:val="clear" w:color="auto" w:fill="FFFFFF"/>
              <w:snapToGrid w:val="0"/>
              <w:ind w:left="760" w:hanging="360"/>
              <w:jc w:val="both"/>
              <w:rPr>
                <w:rFonts w:ascii="Times New Roman" w:eastAsia="Times" w:hAnsi="Times New Roman" w:cs="Times New Roman"/>
                <w:i/>
                <w:iCs/>
                <w:sz w:val="20"/>
                <w:szCs w:val="20"/>
              </w:rPr>
            </w:pPr>
            <w:r>
              <w:rPr>
                <w:rFonts w:ascii="Times New Roman" w:eastAsia="Times" w:hAnsi="Times New Roman" w:cs="Times New Roman"/>
                <w:i/>
                <w:iCs/>
                <w:sz w:val="20"/>
                <w:szCs w:val="20"/>
                <w:shd w:val="clear" w:color="auto" w:fill="FFFFFF"/>
              </w:rPr>
              <w:t>-         </w:t>
            </w:r>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sz w:val="20"/>
                <w:szCs w:val="20"/>
                <w:shd w:val="clear" w:color="auto" w:fill="FFFFFF"/>
              </w:rPr>
              <w:t>FFS other non-serving cell information</w:t>
            </w:r>
          </w:p>
          <w:p w:rsidR="008E1462" w:rsidRDefault="00C0295D">
            <w:pPr>
              <w:shd w:val="clear" w:color="auto" w:fill="FFFFFF"/>
              <w:snapToGrid w:val="0"/>
              <w:rPr>
                <w:i/>
                <w:iCs/>
                <w:szCs w:val="20"/>
              </w:rPr>
            </w:pPr>
            <w:r>
              <w:rPr>
                <w:rFonts w:eastAsia="宋体"/>
                <w:b/>
                <w:i/>
                <w:iCs/>
                <w:szCs w:val="20"/>
                <w:shd w:val="clear" w:color="auto" w:fill="FFFFFF"/>
                <w:lang w:bidi="ar"/>
              </w:rPr>
              <w:t>Option2:</w:t>
            </w:r>
            <w:r>
              <w:rPr>
                <w:rStyle w:val="apple-converted-space"/>
                <w:rFonts w:eastAsia="宋体"/>
                <w:i/>
                <w:iCs/>
                <w:szCs w:val="20"/>
                <w:shd w:val="clear" w:color="auto" w:fill="FFFFFF"/>
                <w:lang w:bidi="ar"/>
              </w:rPr>
              <w:t> </w:t>
            </w:r>
            <w:r>
              <w:rPr>
                <w:rFonts w:eastAsia="宋体"/>
                <w:i/>
                <w:iCs/>
                <w:szCs w:val="20"/>
                <w:shd w:val="clear" w:color="auto" w:fill="FFFFFF"/>
                <w:lang w:bidi="ar"/>
              </w:rPr>
              <w:t>Introduce a flag to indicate whether a TCI state/QCL information is associated with non-serving cell information or serving cell</w:t>
            </w:r>
          </w:p>
          <w:p w:rsidR="008E1462" w:rsidRDefault="00C0295D">
            <w:pPr>
              <w:pStyle w:val="af"/>
              <w:shd w:val="clear" w:color="auto" w:fill="FFFFFF"/>
              <w:snapToGrid w:val="0"/>
              <w:ind w:left="760" w:hanging="360"/>
              <w:jc w:val="both"/>
              <w:rPr>
                <w:rFonts w:ascii="Times New Roman" w:eastAsia="Times" w:hAnsi="Times New Roman" w:cs="Times New Roman"/>
                <w:i/>
                <w:iCs/>
                <w:sz w:val="20"/>
                <w:szCs w:val="20"/>
              </w:rPr>
            </w:pPr>
            <w:r>
              <w:rPr>
                <w:rFonts w:ascii="Times New Roman" w:eastAsia="Times" w:hAnsi="Times New Roman" w:cs="Times New Roman"/>
                <w:i/>
                <w:iCs/>
                <w:sz w:val="20"/>
                <w:szCs w:val="20"/>
                <w:shd w:val="clear" w:color="auto" w:fill="FFFFFF"/>
              </w:rPr>
              <w:t>-         </w:t>
            </w:r>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sz w:val="20"/>
                <w:szCs w:val="20"/>
                <w:shd w:val="clear" w:color="auto" w:fill="FFFFFF"/>
              </w:rPr>
              <w:t>FFS: how the flag is linked to non-serving cell</w:t>
            </w:r>
          </w:p>
          <w:p w:rsidR="008E1462" w:rsidRDefault="00C0295D">
            <w:pPr>
              <w:shd w:val="clear" w:color="auto" w:fill="FFFFFF"/>
              <w:snapToGrid w:val="0"/>
              <w:rPr>
                <w:i/>
                <w:iCs/>
                <w:szCs w:val="20"/>
              </w:rPr>
            </w:pPr>
            <w:r>
              <w:rPr>
                <w:rFonts w:eastAsia="宋体"/>
                <w:b/>
                <w:i/>
                <w:iCs/>
                <w:szCs w:val="20"/>
                <w:shd w:val="clear" w:color="auto" w:fill="FFFFFF"/>
                <w:lang w:bidi="ar"/>
              </w:rPr>
              <w:t>Option3:</w:t>
            </w:r>
            <w:r>
              <w:rPr>
                <w:rStyle w:val="apple-converted-space"/>
                <w:rFonts w:eastAsia="宋体"/>
                <w:b/>
                <w:i/>
                <w:iCs/>
                <w:szCs w:val="20"/>
                <w:shd w:val="clear" w:color="auto" w:fill="FFFFFF"/>
                <w:lang w:bidi="ar"/>
              </w:rPr>
              <w:t> </w:t>
            </w:r>
            <w:r>
              <w:rPr>
                <w:rFonts w:eastAsia="宋体"/>
                <w:i/>
                <w:iCs/>
                <w:szCs w:val="20"/>
                <w:shd w:val="clear" w:color="auto" w:fill="FFFFFF"/>
                <w:lang w:bidi="ar"/>
              </w:rPr>
              <w:t>Explicit or implicit grouping of TCI states associated with non-serving cell information corresponding to the serving cell and the non-serving cell respectively.</w:t>
            </w:r>
          </w:p>
          <w:p w:rsidR="008E1462" w:rsidRDefault="00C0295D">
            <w:pPr>
              <w:pStyle w:val="af"/>
              <w:shd w:val="clear" w:color="auto" w:fill="FFFFFF"/>
              <w:snapToGrid w:val="0"/>
              <w:ind w:left="760" w:hanging="360"/>
              <w:jc w:val="both"/>
              <w:rPr>
                <w:rFonts w:ascii="Times New Roman" w:eastAsia="Times" w:hAnsi="Times New Roman" w:cs="Times New Roman"/>
                <w:i/>
                <w:iCs/>
                <w:sz w:val="20"/>
                <w:szCs w:val="20"/>
              </w:rPr>
            </w:pPr>
            <w:r>
              <w:rPr>
                <w:rFonts w:ascii="Times New Roman" w:eastAsia="Times" w:hAnsi="Times New Roman" w:cs="Times New Roman"/>
                <w:i/>
                <w:iCs/>
                <w:sz w:val="20"/>
                <w:szCs w:val="20"/>
                <w:shd w:val="clear" w:color="auto" w:fill="FFFFFF"/>
              </w:rPr>
              <w:t>-         </w:t>
            </w:r>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sz w:val="20"/>
                <w:szCs w:val="20"/>
                <w:shd w:val="clear" w:color="auto" w:fill="FFFFFF"/>
              </w:rPr>
              <w:t>FFS:</w:t>
            </w:r>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sz w:val="20"/>
                <w:szCs w:val="20"/>
                <w:shd w:val="clear" w:color="auto" w:fill="FFFFFF"/>
              </w:rPr>
              <w:t>Each group</w:t>
            </w:r>
            <w:r>
              <w:rPr>
                <w:rFonts w:ascii="Times New Roman" w:eastAsia="Times" w:hAnsi="Times New Roman" w:cs="Times New Roman"/>
                <w:i/>
                <w:iCs/>
                <w:sz w:val="20"/>
                <w:szCs w:val="20"/>
                <w:shd w:val="clear" w:color="auto" w:fill="FFFFFF"/>
              </w:rPr>
              <w:t xml:space="preserve"> is associated with a</w:t>
            </w:r>
            <w:r>
              <w:rPr>
                <w:rStyle w:val="apple-converted-space"/>
                <w:rFonts w:ascii="Times New Roman" w:eastAsia="Times" w:hAnsi="Times New Roman" w:cs="Times New Roman"/>
                <w:i/>
                <w:iCs/>
                <w:sz w:val="20"/>
                <w:szCs w:val="20"/>
                <w:shd w:val="clear" w:color="auto" w:fill="FFFFFF"/>
              </w:rPr>
              <w:t> </w:t>
            </w:r>
            <w:proofErr w:type="spellStart"/>
            <w:r>
              <w:rPr>
                <w:rFonts w:ascii="Times New Roman" w:eastAsia="Times" w:hAnsi="Times New Roman" w:cs="Times New Roman"/>
                <w:i/>
                <w:iCs/>
                <w:sz w:val="20"/>
                <w:szCs w:val="20"/>
                <w:shd w:val="clear" w:color="auto" w:fill="FFFFFF"/>
              </w:rPr>
              <w:t>CORESETPoolIndex</w:t>
            </w:r>
            <w:proofErr w:type="spellEnd"/>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sz w:val="20"/>
                <w:szCs w:val="20"/>
                <w:shd w:val="clear" w:color="auto" w:fill="FFFFFF"/>
              </w:rPr>
              <w:t>value.</w:t>
            </w:r>
          </w:p>
          <w:p w:rsidR="008E1462" w:rsidRDefault="00C0295D">
            <w:pPr>
              <w:pStyle w:val="af"/>
              <w:shd w:val="clear" w:color="auto" w:fill="FFFFFF"/>
              <w:snapToGrid w:val="0"/>
              <w:ind w:left="760" w:hanging="360"/>
              <w:jc w:val="both"/>
              <w:rPr>
                <w:rFonts w:ascii="Times New Roman" w:eastAsia="Times" w:hAnsi="Times New Roman" w:cs="Times New Roman"/>
                <w:i/>
                <w:iCs/>
                <w:color w:val="000000"/>
                <w:sz w:val="20"/>
                <w:szCs w:val="20"/>
              </w:rPr>
            </w:pPr>
            <w:r>
              <w:rPr>
                <w:rFonts w:ascii="Times New Roman" w:eastAsia="Times" w:hAnsi="Times New Roman" w:cs="Times New Roman"/>
                <w:i/>
                <w:iCs/>
                <w:sz w:val="20"/>
                <w:szCs w:val="20"/>
                <w:shd w:val="clear" w:color="auto" w:fill="FFFFFF"/>
              </w:rPr>
              <w:t>-         </w:t>
            </w:r>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sz w:val="20"/>
                <w:szCs w:val="20"/>
                <w:shd w:val="clear" w:color="auto" w:fill="FFFFFF"/>
              </w:rPr>
              <w:t xml:space="preserve">FFS: how to link the </w:t>
            </w:r>
            <w:r>
              <w:rPr>
                <w:rFonts w:ascii="Times New Roman" w:eastAsia="Times" w:hAnsi="Times New Roman" w:cs="Times New Roman"/>
                <w:i/>
                <w:iCs/>
                <w:color w:val="000000"/>
                <w:sz w:val="20"/>
                <w:szCs w:val="20"/>
                <w:shd w:val="clear" w:color="auto" w:fill="FFFFFF"/>
              </w:rPr>
              <w:t>group of TCI states to non-serving cell.</w:t>
            </w:r>
          </w:p>
          <w:p w:rsidR="008E1462" w:rsidRDefault="00C0295D">
            <w:pPr>
              <w:shd w:val="clear" w:color="auto" w:fill="FFFFFF"/>
              <w:snapToGrid w:val="0"/>
              <w:rPr>
                <w:i/>
                <w:iCs/>
                <w:color w:val="000000"/>
                <w:szCs w:val="20"/>
              </w:rPr>
            </w:pPr>
            <w:r>
              <w:rPr>
                <w:rFonts w:eastAsia="宋体"/>
                <w:b/>
                <w:i/>
                <w:iCs/>
                <w:color w:val="000000"/>
                <w:szCs w:val="20"/>
                <w:shd w:val="clear" w:color="auto" w:fill="FFFFFF"/>
                <w:lang w:bidi="ar"/>
              </w:rPr>
              <w:t>Option4:</w:t>
            </w:r>
            <w:r>
              <w:rPr>
                <w:rStyle w:val="apple-converted-space"/>
                <w:rFonts w:eastAsia="宋体"/>
                <w:i/>
                <w:iCs/>
                <w:color w:val="000000"/>
                <w:szCs w:val="20"/>
                <w:shd w:val="clear" w:color="auto" w:fill="FFFFFF"/>
                <w:lang w:bidi="ar"/>
              </w:rPr>
              <w:t> </w:t>
            </w:r>
            <w:r>
              <w:rPr>
                <w:rFonts w:eastAsia="宋体"/>
                <w:i/>
                <w:iCs/>
                <w:color w:val="000000"/>
                <w:szCs w:val="20"/>
                <w:shd w:val="clear" w:color="auto" w:fill="FFFFFF"/>
                <w:lang w:bidi="ar"/>
              </w:rPr>
              <w:t xml:space="preserve">Re-index the non-serving cell RS, e.g., in the TCI state/QCL-Info, so that the UE can differentiate between a serving cell RS </w:t>
            </w:r>
            <w:r>
              <w:rPr>
                <w:rFonts w:eastAsia="宋体"/>
                <w:i/>
                <w:iCs/>
                <w:color w:val="000000"/>
                <w:szCs w:val="20"/>
                <w:shd w:val="clear" w:color="auto" w:fill="FFFFFF"/>
                <w:lang w:bidi="ar"/>
              </w:rPr>
              <w:t>and a non-serving cell RS</w:t>
            </w:r>
          </w:p>
          <w:p w:rsidR="008E1462" w:rsidRDefault="00C0295D">
            <w:pPr>
              <w:pStyle w:val="af"/>
              <w:shd w:val="clear" w:color="auto" w:fill="FFFFFF"/>
              <w:snapToGrid w:val="0"/>
              <w:ind w:left="760" w:hanging="360"/>
              <w:jc w:val="both"/>
              <w:rPr>
                <w:rFonts w:ascii="Times New Roman" w:eastAsia="Times" w:hAnsi="Times New Roman" w:cs="Times New Roman"/>
                <w:i/>
                <w:iCs/>
                <w:color w:val="000000"/>
                <w:sz w:val="20"/>
                <w:szCs w:val="20"/>
              </w:rPr>
            </w:pPr>
            <w:r>
              <w:rPr>
                <w:rFonts w:ascii="Times New Roman" w:eastAsia="Times" w:hAnsi="Times New Roman" w:cs="Times New Roman"/>
                <w:i/>
                <w:iCs/>
                <w:color w:val="000000"/>
                <w:sz w:val="20"/>
                <w:szCs w:val="20"/>
                <w:shd w:val="clear" w:color="auto" w:fill="FFFFFF"/>
              </w:rPr>
              <w:t>-</w:t>
            </w:r>
            <w:r>
              <w:rPr>
                <w:rFonts w:ascii="Times New Roman" w:eastAsia="Times" w:hAnsi="Times New Roman" w:cs="Times New Roman"/>
                <w:i/>
                <w:iCs/>
                <w:sz w:val="20"/>
                <w:szCs w:val="20"/>
                <w:shd w:val="clear" w:color="auto" w:fill="FFFFFF"/>
              </w:rPr>
              <w:t>         </w:t>
            </w:r>
            <w:r>
              <w:rPr>
                <w:rStyle w:val="apple-converted-space"/>
                <w:rFonts w:ascii="Times New Roman" w:eastAsia="Times" w:hAnsi="Times New Roman" w:cs="Times New Roman"/>
                <w:i/>
                <w:iCs/>
                <w:sz w:val="20"/>
                <w:szCs w:val="20"/>
                <w:shd w:val="clear" w:color="auto" w:fill="FFFFFF"/>
              </w:rPr>
              <w:t> </w:t>
            </w:r>
            <w:r>
              <w:rPr>
                <w:rFonts w:ascii="Times New Roman" w:eastAsia="Times" w:hAnsi="Times New Roman" w:cs="Times New Roman"/>
                <w:i/>
                <w:iCs/>
                <w:color w:val="000000"/>
                <w:sz w:val="20"/>
                <w:szCs w:val="20"/>
                <w:shd w:val="clear" w:color="auto" w:fill="FFFFFF"/>
              </w:rPr>
              <w:t>Example: serving cell RSs are indexed from #0, #1, …, #N-1, while non-serving cell RSs are re-indexed from #N, #N+1, …</w:t>
            </w:r>
          </w:p>
          <w:p w:rsidR="008E1462" w:rsidRDefault="00C0295D">
            <w:pPr>
              <w:pStyle w:val="af"/>
              <w:shd w:val="clear" w:color="auto" w:fill="FFFFFF"/>
              <w:snapToGrid w:val="0"/>
              <w:ind w:left="760" w:hanging="360"/>
              <w:jc w:val="both"/>
              <w:rPr>
                <w:rFonts w:ascii="Times New Roman" w:eastAsia="Times" w:hAnsi="Times New Roman" w:cs="Times New Roman"/>
                <w:i/>
                <w:iCs/>
                <w:color w:val="000000"/>
                <w:sz w:val="20"/>
                <w:szCs w:val="20"/>
              </w:rPr>
            </w:pPr>
            <w:r>
              <w:rPr>
                <w:rFonts w:ascii="Times New Roman" w:eastAsia="Times" w:hAnsi="Times New Roman" w:cs="Times New Roman"/>
                <w:i/>
                <w:iCs/>
                <w:color w:val="000000"/>
                <w:sz w:val="20"/>
                <w:szCs w:val="20"/>
                <w:shd w:val="clear" w:color="auto" w:fill="FFFFFF"/>
              </w:rPr>
              <w:t>-         </w:t>
            </w:r>
            <w:r>
              <w:rPr>
                <w:rStyle w:val="apple-converted-space"/>
                <w:rFonts w:ascii="Times New Roman" w:eastAsia="Times" w:hAnsi="Times New Roman" w:cs="Times New Roman"/>
                <w:i/>
                <w:iCs/>
                <w:color w:val="000000"/>
                <w:sz w:val="20"/>
                <w:szCs w:val="20"/>
                <w:shd w:val="clear" w:color="auto" w:fill="FFFFFF"/>
              </w:rPr>
              <w:t> </w:t>
            </w:r>
            <w:r>
              <w:rPr>
                <w:rFonts w:ascii="Times New Roman" w:eastAsia="Times" w:hAnsi="Times New Roman" w:cs="Times New Roman"/>
                <w:i/>
                <w:iCs/>
                <w:color w:val="000000"/>
                <w:sz w:val="20"/>
                <w:szCs w:val="20"/>
                <w:shd w:val="clear" w:color="auto" w:fill="FFFFFF"/>
              </w:rPr>
              <w:t>FFS: detailed re-indexing rule(s) of non-serving cell RSs</w:t>
            </w:r>
          </w:p>
          <w:p w:rsidR="008E1462" w:rsidRDefault="00C0295D">
            <w:pPr>
              <w:shd w:val="clear" w:color="auto" w:fill="FFFFFF"/>
              <w:snapToGrid w:val="0"/>
              <w:rPr>
                <w:i/>
                <w:iCs/>
                <w:color w:val="000000"/>
                <w:szCs w:val="20"/>
              </w:rPr>
            </w:pPr>
            <w:r>
              <w:rPr>
                <w:rFonts w:eastAsia="宋体"/>
                <w:b/>
                <w:i/>
                <w:iCs/>
                <w:color w:val="000000"/>
                <w:szCs w:val="20"/>
                <w:shd w:val="clear" w:color="auto" w:fill="FFFFFF"/>
                <w:lang w:bidi="ar"/>
              </w:rPr>
              <w:t>Option5:</w:t>
            </w:r>
            <w:r>
              <w:rPr>
                <w:rStyle w:val="apple-converted-space"/>
                <w:rFonts w:eastAsia="宋体"/>
                <w:i/>
                <w:iCs/>
                <w:color w:val="000000"/>
                <w:szCs w:val="20"/>
                <w:shd w:val="clear" w:color="auto" w:fill="FFFFFF"/>
                <w:lang w:bidi="ar"/>
              </w:rPr>
              <w:t> </w:t>
            </w:r>
            <w:r>
              <w:rPr>
                <w:rFonts w:eastAsia="宋体"/>
                <w:i/>
                <w:iCs/>
                <w:color w:val="000000"/>
                <w:szCs w:val="20"/>
                <w:shd w:val="clear" w:color="auto" w:fill="FFFFFF"/>
                <w:lang w:bidi="ar"/>
              </w:rPr>
              <w:t xml:space="preserve">Introduce a new </w:t>
            </w:r>
            <w:r>
              <w:rPr>
                <w:rFonts w:eastAsia="宋体"/>
                <w:i/>
                <w:iCs/>
                <w:color w:val="000000"/>
                <w:szCs w:val="20"/>
                <w:shd w:val="clear" w:color="auto" w:fill="FFFFFF"/>
                <w:lang w:bidi="ar"/>
              </w:rPr>
              <w:t>indicator (e.g., re-index the non-serving cell) to indicate the non-serving cell information that a TCI state/QCL information is associated with</w:t>
            </w:r>
          </w:p>
          <w:p w:rsidR="008E1462" w:rsidRDefault="00C0295D">
            <w:pPr>
              <w:pStyle w:val="af"/>
              <w:shd w:val="clear" w:color="auto" w:fill="FFFFFF"/>
              <w:snapToGrid w:val="0"/>
              <w:ind w:left="760" w:hanging="360"/>
              <w:jc w:val="both"/>
              <w:rPr>
                <w:rFonts w:ascii="Times New Roman" w:eastAsia="Times" w:hAnsi="Times New Roman" w:cs="Times New Roman"/>
                <w:i/>
                <w:iCs/>
                <w:color w:val="000000"/>
                <w:sz w:val="20"/>
                <w:szCs w:val="20"/>
              </w:rPr>
            </w:pPr>
            <w:r>
              <w:rPr>
                <w:rFonts w:ascii="Times New Roman" w:eastAsia="Times" w:hAnsi="Times New Roman" w:cs="Times New Roman"/>
                <w:i/>
                <w:iCs/>
                <w:color w:val="000000"/>
                <w:sz w:val="20"/>
                <w:szCs w:val="20"/>
                <w:shd w:val="clear" w:color="auto" w:fill="FFFFFF"/>
              </w:rPr>
              <w:t>-         </w:t>
            </w:r>
            <w:r>
              <w:rPr>
                <w:rStyle w:val="apple-converted-space"/>
                <w:rFonts w:ascii="Times New Roman" w:eastAsia="Times" w:hAnsi="Times New Roman" w:cs="Times New Roman"/>
                <w:i/>
                <w:iCs/>
                <w:color w:val="000000"/>
                <w:sz w:val="20"/>
                <w:szCs w:val="20"/>
                <w:shd w:val="clear" w:color="auto" w:fill="FFFFFF"/>
              </w:rPr>
              <w:t> </w:t>
            </w:r>
            <w:r>
              <w:rPr>
                <w:rFonts w:ascii="Times New Roman" w:eastAsia="Times" w:hAnsi="Times New Roman" w:cs="Times New Roman"/>
                <w:i/>
                <w:iCs/>
                <w:color w:val="000000"/>
                <w:sz w:val="20"/>
                <w:szCs w:val="20"/>
                <w:shd w:val="clear" w:color="auto" w:fill="FFFFFF"/>
              </w:rPr>
              <w:t>FFS: how the indicator is linked to non-serving cell</w:t>
            </w:r>
          </w:p>
          <w:p w:rsidR="008E1462" w:rsidRDefault="00C0295D">
            <w:pPr>
              <w:pStyle w:val="af"/>
              <w:shd w:val="clear" w:color="auto" w:fill="FFFFFF"/>
              <w:snapToGrid w:val="0"/>
              <w:ind w:left="760" w:hanging="360"/>
              <w:jc w:val="both"/>
              <w:rPr>
                <w:rFonts w:eastAsiaTheme="minorEastAsia"/>
                <w:szCs w:val="20"/>
              </w:rPr>
            </w:pPr>
            <w:r>
              <w:rPr>
                <w:rFonts w:ascii="Times New Roman" w:eastAsia="Times" w:hAnsi="Times New Roman" w:cs="Times New Roman"/>
                <w:i/>
                <w:iCs/>
                <w:color w:val="000000"/>
                <w:sz w:val="20"/>
                <w:szCs w:val="20"/>
                <w:shd w:val="clear" w:color="auto" w:fill="FFFFFF"/>
              </w:rPr>
              <w:t>-         </w:t>
            </w:r>
            <w:r>
              <w:rPr>
                <w:rStyle w:val="apple-converted-space"/>
                <w:rFonts w:ascii="Times New Roman" w:eastAsia="Times" w:hAnsi="Times New Roman" w:cs="Times New Roman"/>
                <w:i/>
                <w:iCs/>
                <w:color w:val="000000"/>
                <w:sz w:val="20"/>
                <w:szCs w:val="20"/>
                <w:shd w:val="clear" w:color="auto" w:fill="FFFFFF"/>
              </w:rPr>
              <w:t> </w:t>
            </w:r>
            <w:r>
              <w:rPr>
                <w:rFonts w:ascii="Times New Roman" w:eastAsia="Times" w:hAnsi="Times New Roman" w:cs="Times New Roman"/>
                <w:i/>
                <w:iCs/>
                <w:color w:val="000000"/>
                <w:sz w:val="20"/>
                <w:szCs w:val="20"/>
                <w:shd w:val="clear" w:color="auto" w:fill="FFFFFF"/>
              </w:rPr>
              <w:t>Note: when there is only one non-ser</w:t>
            </w:r>
            <w:r>
              <w:rPr>
                <w:rFonts w:ascii="Times New Roman" w:eastAsia="Times" w:hAnsi="Times New Roman" w:cs="Times New Roman"/>
                <w:i/>
                <w:iCs/>
                <w:color w:val="000000"/>
                <w:sz w:val="20"/>
                <w:szCs w:val="20"/>
                <w:shd w:val="clear" w:color="auto" w:fill="FFFFFF"/>
              </w:rPr>
              <w:t>ving cell, it means the same as Option2.</w:t>
            </w:r>
          </w:p>
        </w:tc>
      </w:tr>
    </w:tbl>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For option 1, it is ambiguity about how to associate non-serving cell information and TCI state via PCI. Here, one way can be to use an indicator or a flag of TRP specific QCL purpose to establish the link, which i</w:t>
      </w:r>
      <w:r>
        <w:rPr>
          <w:rFonts w:eastAsia="宋体" w:hint="eastAsia"/>
          <w:color w:val="000000" w:themeColor="text1"/>
          <w:szCs w:val="20"/>
        </w:rPr>
        <w:t>s similar with option 2, 3, and 5 in fact. If non-serving cell PCI</w:t>
      </w:r>
      <w:r>
        <w:rPr>
          <w:rFonts w:eastAsia="宋体"/>
          <w:color w:val="000000" w:themeColor="text1"/>
          <w:szCs w:val="20"/>
        </w:rPr>
        <w:t xml:space="preserve"> is indicated</w:t>
      </w:r>
      <w:r>
        <w:rPr>
          <w:rFonts w:eastAsia="宋体" w:hint="eastAsia"/>
          <w:color w:val="000000" w:themeColor="text1"/>
          <w:szCs w:val="20"/>
        </w:rPr>
        <w:t xml:space="preserve"> in TCI state directly, it will lead to unnecessary overhead increasing, because up to 10 bits of 1008 PCIs are required for the target non-serving cell TRP. Besides, it also means that TRP specific </w:t>
      </w:r>
      <w:r>
        <w:rPr>
          <w:rFonts w:eastAsia="宋体"/>
          <w:color w:val="000000" w:themeColor="text1"/>
          <w:szCs w:val="20"/>
        </w:rPr>
        <w:t>configurations</w:t>
      </w:r>
      <w:r>
        <w:rPr>
          <w:rFonts w:eastAsia="宋体" w:hint="eastAsia"/>
          <w:color w:val="000000" w:themeColor="text1"/>
          <w:szCs w:val="20"/>
        </w:rPr>
        <w:t xml:space="preserve"> for M</w:t>
      </w:r>
      <w:r>
        <w:rPr>
          <w:rFonts w:eastAsia="宋体"/>
          <w:color w:val="000000" w:themeColor="text1"/>
          <w:szCs w:val="20"/>
        </w:rPr>
        <w:t xml:space="preserve">DCI based </w:t>
      </w:r>
      <w:r>
        <w:rPr>
          <w:rFonts w:eastAsia="宋体" w:hint="eastAsia"/>
          <w:color w:val="000000" w:themeColor="text1"/>
          <w:szCs w:val="20"/>
        </w:rPr>
        <w:t>MTRP operation need redesig</w:t>
      </w:r>
      <w:r>
        <w:rPr>
          <w:rFonts w:eastAsia="宋体" w:hint="eastAsia"/>
          <w:color w:val="000000" w:themeColor="text1"/>
          <w:szCs w:val="20"/>
        </w:rPr>
        <w:t>n, which will cause redundant spec</w:t>
      </w:r>
      <w:r>
        <w:rPr>
          <w:rFonts w:eastAsia="宋体"/>
          <w:color w:val="000000" w:themeColor="text1"/>
          <w:szCs w:val="20"/>
        </w:rPr>
        <w:t>ification</w:t>
      </w:r>
      <w:r>
        <w:rPr>
          <w:rFonts w:eastAsia="宋体" w:hint="eastAsia"/>
          <w:color w:val="000000" w:themeColor="text1"/>
          <w:szCs w:val="20"/>
        </w:rPr>
        <w:t xml:space="preserve"> change.</w:t>
      </w: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For option 2 and option 3, these two solutions are very similar with each other, and the difference between them is whether</w:t>
      </w:r>
      <w:r>
        <w:rPr>
          <w:rFonts w:eastAsia="宋体"/>
          <w:color w:val="000000" w:themeColor="text1"/>
          <w:szCs w:val="20"/>
        </w:rPr>
        <w:t xml:space="preserve"> to</w:t>
      </w:r>
      <w:r>
        <w:rPr>
          <w:rFonts w:eastAsia="宋体" w:hint="eastAsia"/>
          <w:color w:val="000000" w:themeColor="text1"/>
          <w:szCs w:val="20"/>
        </w:rPr>
        <w:t xml:space="preserve"> implicitly or explicitly include </w:t>
      </w:r>
      <w:r>
        <w:rPr>
          <w:rFonts w:eastAsia="宋体" w:hint="eastAsia"/>
          <w:szCs w:val="20"/>
        </w:rPr>
        <w:t xml:space="preserve">the parameter </w:t>
      </w:r>
      <w:proofErr w:type="spellStart"/>
      <w:r>
        <w:rPr>
          <w:rFonts w:cs="Times" w:hint="eastAsia"/>
          <w:i/>
          <w:iCs/>
        </w:rPr>
        <w:t>CORESETPoolIndex</w:t>
      </w:r>
      <w:proofErr w:type="spellEnd"/>
      <w:r>
        <w:rPr>
          <w:rFonts w:eastAsia="宋体" w:cs="Times" w:hint="eastAsia"/>
          <w:i/>
          <w:iCs/>
        </w:rPr>
        <w:t xml:space="preserve"> </w:t>
      </w:r>
      <w:r>
        <w:rPr>
          <w:rFonts w:eastAsia="宋体" w:cs="Times" w:hint="eastAsia"/>
        </w:rPr>
        <w:t>(</w:t>
      </w:r>
      <w:r>
        <w:rPr>
          <w:rFonts w:cs="Times" w:hint="eastAsia"/>
        </w:rPr>
        <w:t>which can be</w:t>
      </w:r>
      <w:r>
        <w:rPr>
          <w:rFonts w:cs="Times" w:hint="eastAsia"/>
        </w:rPr>
        <w:t xml:space="preserve"> </w:t>
      </w:r>
      <w:r>
        <w:rPr>
          <w:rFonts w:eastAsia="宋体" w:cs="Times"/>
        </w:rPr>
        <w:t>seen</w:t>
      </w:r>
      <w:r>
        <w:rPr>
          <w:rFonts w:eastAsia="宋体" w:cs="Times" w:hint="eastAsia"/>
        </w:rPr>
        <w:t xml:space="preserve"> </w:t>
      </w:r>
      <w:r>
        <w:rPr>
          <w:rFonts w:cs="Times" w:hint="eastAsia"/>
        </w:rPr>
        <w:t xml:space="preserve">as </w:t>
      </w:r>
      <w:r>
        <w:rPr>
          <w:rFonts w:eastAsia="宋体" w:cs="Times" w:hint="eastAsia"/>
        </w:rPr>
        <w:t>the flag in option 2)</w:t>
      </w:r>
      <w:r>
        <w:rPr>
          <w:rFonts w:cs="Times" w:hint="eastAsia"/>
        </w:rPr>
        <w:t xml:space="preserve"> </w:t>
      </w:r>
      <w:r>
        <w:rPr>
          <w:rFonts w:eastAsia="宋体" w:hint="eastAsia"/>
          <w:szCs w:val="20"/>
        </w:rPr>
        <w:t xml:space="preserve">in a part of </w:t>
      </w:r>
      <w:r>
        <w:rPr>
          <w:rFonts w:eastAsia="宋体"/>
          <w:szCs w:val="20"/>
        </w:rPr>
        <w:t>TCI states</w:t>
      </w:r>
      <w:r>
        <w:rPr>
          <w:rFonts w:eastAsia="宋体" w:hint="eastAsia"/>
          <w:szCs w:val="20"/>
        </w:rPr>
        <w:t xml:space="preserve"> </w:t>
      </w:r>
      <w:r>
        <w:rPr>
          <w:rFonts w:cs="Times"/>
        </w:rPr>
        <w:t>to indicate the associated non-serving cell information</w:t>
      </w:r>
      <w:r>
        <w:rPr>
          <w:rFonts w:eastAsia="宋体"/>
          <w:color w:val="000000" w:themeColor="text1"/>
          <w:szCs w:val="20"/>
        </w:rPr>
        <w:t>.</w:t>
      </w:r>
      <w:r>
        <w:rPr>
          <w:rFonts w:eastAsia="宋体" w:hint="eastAsia"/>
          <w:color w:val="000000" w:themeColor="text1"/>
          <w:szCs w:val="20"/>
        </w:rPr>
        <w:t xml:space="preserve"> Note that association between cell-related information and TCI state group is set up by setting association between cell-related information and</w:t>
      </w:r>
      <w:r>
        <w:rPr>
          <w:rFonts w:eastAsia="宋体" w:hint="eastAsia"/>
          <w:color w:val="000000" w:themeColor="text1"/>
          <w:szCs w:val="20"/>
        </w:rPr>
        <w:t xml:space="preserve"> </w:t>
      </w:r>
      <w:proofErr w:type="spellStart"/>
      <w:r>
        <w:rPr>
          <w:rFonts w:cs="Times" w:hint="eastAsia"/>
          <w:i/>
          <w:iCs/>
        </w:rPr>
        <w:t>CORESETPoolIndex</w:t>
      </w:r>
      <w:proofErr w:type="spellEnd"/>
      <w:r>
        <w:rPr>
          <w:rFonts w:eastAsia="宋体" w:hint="eastAsia"/>
          <w:color w:val="000000" w:themeColor="text1"/>
          <w:szCs w:val="20"/>
        </w:rPr>
        <w:t>, and</w:t>
      </w:r>
      <w:r>
        <w:rPr>
          <w:rFonts w:eastAsia="宋体"/>
          <w:color w:val="000000" w:themeColor="text1"/>
          <w:szCs w:val="20"/>
        </w:rPr>
        <w:t xml:space="preserve"> </w:t>
      </w:r>
      <w:r>
        <w:rPr>
          <w:rFonts w:eastAsia="宋体" w:hint="eastAsia"/>
          <w:color w:val="000000" w:themeColor="text1"/>
          <w:szCs w:val="20"/>
        </w:rPr>
        <w:t xml:space="preserve">the cell-related information of a TCI state of PDSCH/PDCCH is based on cell-related information associated with </w:t>
      </w:r>
      <w:proofErr w:type="spellStart"/>
      <w:r>
        <w:rPr>
          <w:rFonts w:cs="Times" w:hint="eastAsia"/>
          <w:i/>
          <w:iCs/>
        </w:rPr>
        <w:t>CORESETPoolIndex</w:t>
      </w:r>
      <w:proofErr w:type="spellEnd"/>
      <w:r>
        <w:rPr>
          <w:rFonts w:eastAsia="宋体" w:cs="Times" w:hint="eastAsia"/>
          <w:i/>
          <w:iCs/>
        </w:rPr>
        <w:t xml:space="preserve">. </w:t>
      </w:r>
      <w:r>
        <w:rPr>
          <w:rFonts w:eastAsia="宋体" w:hint="eastAsia"/>
          <w:color w:val="000000" w:themeColor="text1"/>
          <w:szCs w:val="20"/>
        </w:rPr>
        <w:t xml:space="preserve">Based on that, TRP specific </w:t>
      </w:r>
      <w:r>
        <w:rPr>
          <w:rFonts w:eastAsia="宋体"/>
          <w:color w:val="000000" w:themeColor="text1"/>
          <w:szCs w:val="20"/>
        </w:rPr>
        <w:t>configurations</w:t>
      </w:r>
      <w:r>
        <w:rPr>
          <w:rFonts w:eastAsia="宋体" w:hint="eastAsia"/>
          <w:color w:val="000000" w:themeColor="text1"/>
          <w:szCs w:val="20"/>
        </w:rPr>
        <w:t xml:space="preserve"> can be guaranteed by option 3 and the spec</w:t>
      </w:r>
      <w:r>
        <w:rPr>
          <w:rFonts w:eastAsia="宋体"/>
          <w:color w:val="000000" w:themeColor="text1"/>
          <w:szCs w:val="20"/>
        </w:rPr>
        <w:t>ification</w:t>
      </w:r>
      <w:r>
        <w:rPr>
          <w:rFonts w:eastAsia="宋体" w:hint="eastAsia"/>
          <w:color w:val="000000" w:themeColor="text1"/>
          <w:szCs w:val="20"/>
        </w:rPr>
        <w:t xml:space="preserve"> will be </w:t>
      </w:r>
      <w:r>
        <w:rPr>
          <w:rFonts w:eastAsia="宋体" w:hint="eastAsia"/>
          <w:color w:val="000000" w:themeColor="text1"/>
          <w:szCs w:val="20"/>
        </w:rPr>
        <w:t xml:space="preserve">clearer for both Rel-16 and Rel-17 MTRP. </w:t>
      </w:r>
      <w:r>
        <w:rPr>
          <w:rFonts w:eastAsia="宋体" w:cs="Times" w:hint="eastAsia"/>
        </w:rPr>
        <w:t xml:space="preserve"> </w:t>
      </w:r>
      <w:r>
        <w:rPr>
          <w:rFonts w:eastAsia="宋体" w:hint="eastAsia"/>
          <w:color w:val="000000" w:themeColor="text1"/>
          <w:szCs w:val="20"/>
        </w:rPr>
        <w:t xml:space="preserve"> </w:t>
      </w: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 xml:space="preserve">For option 4, it is similar to option 2 and option 3, which is the way to implicitly associate non-serving cell PCI in TCI state. However, this solution needs to re-index serving-cell and non-serving cell RSs, </w:t>
      </w:r>
      <w:r>
        <w:rPr>
          <w:rFonts w:eastAsia="宋体" w:hint="eastAsia"/>
          <w:color w:val="000000" w:themeColor="text1"/>
          <w:szCs w:val="20"/>
        </w:rPr>
        <w:t>which will cause</w:t>
      </w:r>
      <w:r>
        <w:rPr>
          <w:rFonts w:eastAsia="宋体"/>
          <w:color w:val="000000" w:themeColor="text1"/>
          <w:szCs w:val="20"/>
        </w:rPr>
        <w:t xml:space="preserve"> higher</w:t>
      </w:r>
      <w:r>
        <w:rPr>
          <w:rFonts w:eastAsia="宋体" w:hint="eastAsia"/>
          <w:color w:val="000000" w:themeColor="text1"/>
          <w:szCs w:val="20"/>
        </w:rPr>
        <w:t xml:space="preserve"> complex</w:t>
      </w:r>
      <w:r>
        <w:rPr>
          <w:rFonts w:eastAsia="宋体"/>
          <w:color w:val="000000" w:themeColor="text1"/>
          <w:szCs w:val="20"/>
        </w:rPr>
        <w:t>ity</w:t>
      </w:r>
      <w:r>
        <w:rPr>
          <w:rFonts w:eastAsia="宋体" w:hint="eastAsia"/>
          <w:color w:val="000000" w:themeColor="text1"/>
          <w:szCs w:val="20"/>
        </w:rPr>
        <w:t xml:space="preserve"> of configuration. Specifically, it needs to introduce more bits and </w:t>
      </w:r>
      <w:r>
        <w:rPr>
          <w:rFonts w:eastAsia="宋体"/>
          <w:color w:val="000000" w:themeColor="text1"/>
          <w:szCs w:val="20"/>
        </w:rPr>
        <w:t>further processing</w:t>
      </w:r>
      <w:r>
        <w:rPr>
          <w:rFonts w:eastAsia="宋体" w:hint="eastAsia"/>
          <w:color w:val="000000" w:themeColor="text1"/>
          <w:szCs w:val="20"/>
        </w:rPr>
        <w:t xml:space="preserve"> to </w:t>
      </w:r>
      <w:r>
        <w:rPr>
          <w:rFonts w:eastAsia="宋体"/>
          <w:color w:val="000000" w:themeColor="text1"/>
          <w:szCs w:val="20"/>
        </w:rPr>
        <w:t xml:space="preserve">identify </w:t>
      </w:r>
      <w:r>
        <w:rPr>
          <w:rFonts w:eastAsia="宋体" w:hint="eastAsia"/>
          <w:color w:val="000000" w:themeColor="text1"/>
          <w:szCs w:val="20"/>
        </w:rPr>
        <w:t xml:space="preserve">a RS regardless the RS is from serving cell or from </w:t>
      </w:r>
      <w:proofErr w:type="spellStart"/>
      <w:r>
        <w:rPr>
          <w:rFonts w:eastAsia="宋体" w:hint="eastAsia"/>
          <w:color w:val="000000" w:themeColor="text1"/>
          <w:szCs w:val="20"/>
        </w:rPr>
        <w:t>non serving</w:t>
      </w:r>
      <w:proofErr w:type="spellEnd"/>
      <w:r>
        <w:rPr>
          <w:rFonts w:eastAsia="宋体" w:hint="eastAsia"/>
          <w:color w:val="000000" w:themeColor="text1"/>
          <w:szCs w:val="20"/>
        </w:rPr>
        <w:t xml:space="preserve"> cell.</w:t>
      </w: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 xml:space="preserve">For option 5, due to it was agreed that only one non-serving cell can be configured in one CC, this option is the same as option 2 and option 3. </w:t>
      </w:r>
      <w:r>
        <w:rPr>
          <w:rFonts w:eastAsia="宋体"/>
          <w:color w:val="000000" w:themeColor="text1"/>
          <w:szCs w:val="20"/>
        </w:rPr>
        <w:t>Hence</w:t>
      </w:r>
      <w:r>
        <w:rPr>
          <w:rFonts w:eastAsia="宋体" w:hint="eastAsia"/>
          <w:color w:val="000000" w:themeColor="text1"/>
          <w:szCs w:val="20"/>
        </w:rPr>
        <w:t xml:space="preserve">, this option is redundant and can be </w:t>
      </w:r>
      <w:r>
        <w:rPr>
          <w:rFonts w:eastAsia="宋体"/>
          <w:color w:val="000000" w:themeColor="text1"/>
          <w:szCs w:val="20"/>
        </w:rPr>
        <w:t>removed</w:t>
      </w:r>
      <w:r>
        <w:rPr>
          <w:rFonts w:eastAsia="宋体" w:hint="eastAsia"/>
          <w:color w:val="000000" w:themeColor="text1"/>
          <w:szCs w:val="20"/>
        </w:rPr>
        <w:t>.</w:t>
      </w:r>
    </w:p>
    <w:p w:rsidR="008E1462" w:rsidRDefault="00C0295D">
      <w:pPr>
        <w:snapToGrid w:val="0"/>
        <w:spacing w:beforeLines="50" w:before="180" w:afterLines="50" w:after="180"/>
        <w:jc w:val="both"/>
        <w:rPr>
          <w:rFonts w:eastAsia="宋体"/>
          <w:color w:val="000000" w:themeColor="text1"/>
          <w:szCs w:val="20"/>
        </w:rPr>
      </w:pPr>
      <w:r>
        <w:rPr>
          <w:rFonts w:eastAsia="宋体" w:hint="eastAsia"/>
          <w:color w:val="000000" w:themeColor="text1"/>
          <w:szCs w:val="20"/>
        </w:rPr>
        <w:t>Based on the above analys</w:t>
      </w:r>
      <w:r>
        <w:rPr>
          <w:rFonts w:eastAsia="宋体"/>
          <w:color w:val="000000" w:themeColor="text1"/>
          <w:szCs w:val="20"/>
        </w:rPr>
        <w:t>i</w:t>
      </w:r>
      <w:r>
        <w:rPr>
          <w:rFonts w:eastAsia="宋体" w:hint="eastAsia"/>
          <w:color w:val="000000" w:themeColor="text1"/>
          <w:szCs w:val="20"/>
        </w:rPr>
        <w:t xml:space="preserve">s, option 3 </w:t>
      </w:r>
      <w:r>
        <w:rPr>
          <w:rFonts w:eastAsia="宋体"/>
          <w:color w:val="000000" w:themeColor="text1"/>
          <w:szCs w:val="20"/>
        </w:rPr>
        <w:t>is</w:t>
      </w:r>
      <w:r>
        <w:rPr>
          <w:rFonts w:eastAsia="宋体" w:hint="eastAsia"/>
          <w:color w:val="000000" w:themeColor="text1"/>
          <w:szCs w:val="20"/>
        </w:rPr>
        <w:t xml:space="preserve"> the most straightf</w:t>
      </w:r>
      <w:r>
        <w:rPr>
          <w:rFonts w:eastAsia="宋体" w:hint="eastAsia"/>
          <w:color w:val="000000" w:themeColor="text1"/>
          <w:szCs w:val="20"/>
        </w:rPr>
        <w:t xml:space="preserve">orward way to </w:t>
      </w:r>
      <w:r>
        <w:rPr>
          <w:rFonts w:eastAsia="宋体" w:hint="eastAsia"/>
          <w:szCs w:val="20"/>
        </w:rPr>
        <w:t xml:space="preserve">include the parameter </w:t>
      </w:r>
      <w:proofErr w:type="spellStart"/>
      <w:r>
        <w:rPr>
          <w:rFonts w:cs="Times" w:hint="eastAsia"/>
          <w:i/>
          <w:iCs/>
        </w:rPr>
        <w:t>CORESETPoolIndex</w:t>
      </w:r>
      <w:proofErr w:type="spellEnd"/>
      <w:r>
        <w:rPr>
          <w:rFonts w:eastAsia="宋体" w:cs="Times" w:hint="eastAsia"/>
          <w:i/>
          <w:iCs/>
        </w:rPr>
        <w:t xml:space="preserve"> </w:t>
      </w:r>
      <w:r>
        <w:rPr>
          <w:rFonts w:eastAsia="宋体" w:cs="Times" w:hint="eastAsia"/>
        </w:rPr>
        <w:t>(</w:t>
      </w:r>
      <w:r>
        <w:rPr>
          <w:rFonts w:cs="Times" w:hint="eastAsia"/>
        </w:rPr>
        <w:t xml:space="preserve">which also can be </w:t>
      </w:r>
      <w:r>
        <w:rPr>
          <w:rFonts w:eastAsia="宋体" w:cs="Times"/>
        </w:rPr>
        <w:t>seen</w:t>
      </w:r>
      <w:r>
        <w:rPr>
          <w:rFonts w:eastAsia="宋体" w:cs="Times" w:hint="eastAsia"/>
        </w:rPr>
        <w:t xml:space="preserve"> </w:t>
      </w:r>
      <w:r>
        <w:rPr>
          <w:rFonts w:cs="Times" w:hint="eastAsia"/>
        </w:rPr>
        <w:t xml:space="preserve">as </w:t>
      </w:r>
      <w:r>
        <w:rPr>
          <w:rFonts w:eastAsia="宋体" w:cs="Times" w:hint="eastAsia"/>
        </w:rPr>
        <w:t>a flag)</w:t>
      </w:r>
      <w:r>
        <w:rPr>
          <w:rFonts w:cs="Times" w:hint="eastAsia"/>
        </w:rPr>
        <w:t xml:space="preserve"> </w:t>
      </w:r>
      <w:r>
        <w:rPr>
          <w:rFonts w:eastAsia="宋体" w:hint="eastAsia"/>
          <w:szCs w:val="20"/>
        </w:rPr>
        <w:t xml:space="preserve">in </w:t>
      </w:r>
      <w:r>
        <w:rPr>
          <w:rFonts w:eastAsia="宋体"/>
          <w:szCs w:val="20"/>
        </w:rPr>
        <w:t>some TCI states</w:t>
      </w:r>
      <w:r>
        <w:rPr>
          <w:rFonts w:eastAsia="宋体" w:hint="eastAsia"/>
          <w:szCs w:val="20"/>
        </w:rPr>
        <w:t xml:space="preserve"> </w:t>
      </w:r>
      <w:r>
        <w:rPr>
          <w:rFonts w:cs="Times"/>
        </w:rPr>
        <w:t>to indicate the associated non-serving cell information</w:t>
      </w:r>
      <w:r>
        <w:rPr>
          <w:rFonts w:eastAsia="宋体"/>
          <w:color w:val="000000" w:themeColor="text1"/>
          <w:szCs w:val="20"/>
        </w:rPr>
        <w:t>.</w:t>
      </w:r>
      <w:r>
        <w:rPr>
          <w:rFonts w:eastAsia="宋体" w:hint="eastAsia"/>
          <w:color w:val="000000" w:themeColor="text1"/>
          <w:szCs w:val="20"/>
        </w:rPr>
        <w:t xml:space="preserve"> </w:t>
      </w:r>
      <w:r>
        <w:rPr>
          <w:rFonts w:eastAsia="宋体"/>
          <w:color w:val="000000" w:themeColor="text1"/>
          <w:szCs w:val="20"/>
        </w:rPr>
        <w:t>Following</w:t>
      </w:r>
      <w:r>
        <w:rPr>
          <w:rFonts w:eastAsia="宋体" w:hint="eastAsia"/>
          <w:color w:val="000000" w:themeColor="text1"/>
          <w:szCs w:val="20"/>
        </w:rPr>
        <w:t xml:space="preserve"> this way, it </w:t>
      </w:r>
      <w:r>
        <w:rPr>
          <w:rFonts w:hint="eastAsia"/>
        </w:rPr>
        <w:t xml:space="preserve">can guarantee </w:t>
      </w:r>
      <w:r>
        <w:rPr>
          <w:rFonts w:eastAsia="宋体" w:hint="eastAsia"/>
        </w:rPr>
        <w:t xml:space="preserve">the related configurations </w:t>
      </w:r>
      <w:r>
        <w:rPr>
          <w:rFonts w:eastAsia="宋体"/>
        </w:rPr>
        <w:t xml:space="preserve">are </w:t>
      </w:r>
      <w:r>
        <w:rPr>
          <w:rFonts w:eastAsia="宋体" w:hint="eastAsia"/>
        </w:rPr>
        <w:t>TRP</w:t>
      </w:r>
      <w:r>
        <w:rPr>
          <w:rFonts w:eastAsia="宋体"/>
        </w:rPr>
        <w:t>-</w:t>
      </w:r>
      <w:r>
        <w:rPr>
          <w:rFonts w:eastAsia="宋体" w:hint="eastAsia"/>
        </w:rPr>
        <w:t>specific and backwar</w:t>
      </w:r>
      <w:r>
        <w:rPr>
          <w:rFonts w:eastAsia="宋体" w:hint="eastAsia"/>
        </w:rPr>
        <w:t>d compatib</w:t>
      </w:r>
      <w:r>
        <w:rPr>
          <w:rFonts w:eastAsia="宋体"/>
        </w:rPr>
        <w:t>le</w:t>
      </w:r>
      <w:r>
        <w:rPr>
          <w:rFonts w:eastAsia="宋体" w:hint="eastAsia"/>
          <w:color w:val="000000" w:themeColor="text1"/>
          <w:szCs w:val="20"/>
        </w:rPr>
        <w:t>.</w:t>
      </w:r>
    </w:p>
    <w:p w:rsidR="008E1462" w:rsidRDefault="00C0295D">
      <w:pPr>
        <w:snapToGrid w:val="0"/>
        <w:spacing w:beforeLines="50" w:before="180"/>
        <w:jc w:val="both"/>
        <w:rPr>
          <w:rFonts w:eastAsia="宋体"/>
          <w:i/>
          <w:iCs/>
          <w:szCs w:val="20"/>
        </w:rPr>
      </w:pPr>
      <w:r>
        <w:rPr>
          <w:rFonts w:eastAsia="宋体" w:hint="eastAsia"/>
          <w:b/>
          <w:bCs/>
          <w:i/>
          <w:iCs/>
          <w:szCs w:val="20"/>
        </w:rPr>
        <w:t xml:space="preserve">Proposal 4: </w:t>
      </w:r>
      <w:r>
        <w:rPr>
          <w:rFonts w:eastAsia="宋体" w:hint="eastAsia"/>
          <w:i/>
          <w:iCs/>
          <w:szCs w:val="20"/>
        </w:rPr>
        <w:t xml:space="preserve">For the configuration of associating TCI state/ QCL-info with non-serving cell SSB information, support that all TCI states should be split into two groups which corresponding to serving cell and non-serving cell, respectively. </w:t>
      </w:r>
      <w:r>
        <w:rPr>
          <w:rFonts w:eastAsia="宋体"/>
          <w:i/>
          <w:iCs/>
          <w:color w:val="000000" w:themeColor="text1"/>
          <w:szCs w:val="20"/>
        </w:rPr>
        <w:t>(Option 3)</w:t>
      </w:r>
    </w:p>
    <w:p w:rsidR="008E1462" w:rsidRDefault="00C0295D">
      <w:pPr>
        <w:pStyle w:val="af8"/>
        <w:numPr>
          <w:ilvl w:val="0"/>
          <w:numId w:val="6"/>
        </w:numPr>
        <w:snapToGrid w:val="0"/>
        <w:spacing w:afterLines="50" w:after="180"/>
        <w:ind w:leftChars="0" w:hanging="363"/>
        <w:jc w:val="both"/>
        <w:rPr>
          <w:rFonts w:cs="Times"/>
          <w:i/>
          <w:iCs/>
        </w:rPr>
      </w:pPr>
      <w:r>
        <w:rPr>
          <w:rFonts w:cs="Times" w:hint="eastAsia"/>
          <w:i/>
          <w:iCs/>
        </w:rPr>
        <w:t xml:space="preserve">Each group of TCI states is associated with a </w:t>
      </w:r>
      <w:proofErr w:type="spellStart"/>
      <w:r>
        <w:rPr>
          <w:rFonts w:cs="Times" w:hint="eastAsia"/>
          <w:i/>
          <w:iCs/>
        </w:rPr>
        <w:t>CORESETPoolIndex</w:t>
      </w:r>
      <w:proofErr w:type="spellEnd"/>
      <w:r>
        <w:rPr>
          <w:rFonts w:cs="Times" w:hint="eastAsia"/>
          <w:i/>
          <w:iCs/>
        </w:rPr>
        <w:t xml:space="preserve"> value.</w:t>
      </w:r>
    </w:p>
    <w:p w:rsidR="008E1462" w:rsidRDefault="008E1462">
      <w:pPr>
        <w:pStyle w:val="af8"/>
        <w:numPr>
          <w:ilvl w:val="255"/>
          <w:numId w:val="0"/>
        </w:numPr>
        <w:snapToGrid w:val="0"/>
        <w:spacing w:beforeLines="50" w:before="180" w:afterLines="50" w:after="180"/>
        <w:jc w:val="both"/>
        <w:rPr>
          <w:rFonts w:cs="Times"/>
          <w:i/>
          <w:iCs/>
        </w:rPr>
      </w:pPr>
    </w:p>
    <w:p w:rsidR="008E1462" w:rsidRDefault="00C0295D">
      <w:pPr>
        <w:pStyle w:val="2"/>
        <w:snapToGrid w:val="0"/>
        <w:jc w:val="both"/>
        <w:rPr>
          <w:rFonts w:ascii="Arial" w:hAnsi="Arial" w:cs="Arial"/>
          <w:szCs w:val="22"/>
          <w:lang w:val="en-US"/>
        </w:rPr>
      </w:pPr>
      <w:r>
        <w:rPr>
          <w:rFonts w:ascii="Arial" w:hAnsi="Arial" w:cs="Arial" w:hint="eastAsia"/>
          <w:szCs w:val="22"/>
          <w:lang w:val="en-US"/>
        </w:rPr>
        <w:t xml:space="preserve">Non-serving cell </w:t>
      </w:r>
      <w:r>
        <w:rPr>
          <w:rFonts w:ascii="Arial" w:hAnsi="Arial" w:cs="Arial"/>
          <w:szCs w:val="22"/>
          <w:lang w:val="en-US"/>
        </w:rPr>
        <w:t>PL RS for</w:t>
      </w:r>
      <w:r>
        <w:rPr>
          <w:rFonts w:ascii="Arial" w:hAnsi="Arial" w:cs="Arial" w:hint="eastAsia"/>
          <w:szCs w:val="22"/>
          <w:lang w:val="en-US"/>
        </w:rPr>
        <w:t xml:space="preserve"> UL transmission</w:t>
      </w:r>
    </w:p>
    <w:p w:rsidR="008E1462" w:rsidRDefault="00C0295D">
      <w:pPr>
        <w:snapToGrid w:val="0"/>
        <w:spacing w:beforeLines="50" w:before="180" w:afterLines="50" w:after="180"/>
        <w:jc w:val="both"/>
        <w:rPr>
          <w:rFonts w:eastAsia="宋体"/>
        </w:rPr>
      </w:pPr>
      <w:r>
        <w:rPr>
          <w:rFonts w:eastAsia="宋体" w:hint="eastAsia"/>
        </w:rPr>
        <w:t>On power control of UL transmission in Rel-15/16, either SSB or NZP</w:t>
      </w:r>
      <w:r>
        <w:rPr>
          <w:rFonts w:eastAsia="宋体"/>
        </w:rPr>
        <w:t xml:space="preserve"> </w:t>
      </w:r>
      <w:r>
        <w:rPr>
          <w:rFonts w:eastAsia="宋体" w:hint="eastAsia"/>
        </w:rPr>
        <w:t>CSI-RS can be used as path-loss RS. When it comes to inter-cell</w:t>
      </w:r>
      <w:r>
        <w:rPr>
          <w:rFonts w:eastAsia="宋体" w:hint="eastAsia"/>
        </w:rPr>
        <w:t xml:space="preserve"> MTRP operation, it is reasonable to support the agreed non-serving cell SSB for mobility measurement to be used for path-loss measurement. Based on that, such non-serving cell PL-RS should be able to </w:t>
      </w:r>
      <w:r>
        <w:rPr>
          <w:rFonts w:eastAsia="宋体"/>
        </w:rPr>
        <w:t xml:space="preserve">be </w:t>
      </w:r>
      <w:r>
        <w:rPr>
          <w:rFonts w:eastAsia="宋体" w:hint="eastAsia"/>
        </w:rPr>
        <w:t>distinguish</w:t>
      </w:r>
      <w:r>
        <w:rPr>
          <w:rFonts w:eastAsia="宋体"/>
        </w:rPr>
        <w:t>ed</w:t>
      </w:r>
      <w:r>
        <w:rPr>
          <w:rFonts w:eastAsia="宋体" w:hint="eastAsia"/>
        </w:rPr>
        <w:t xml:space="preserve"> from the serving-cell PL-RS. One intui</w:t>
      </w:r>
      <w:r>
        <w:rPr>
          <w:rFonts w:eastAsia="宋体" w:hint="eastAsia"/>
        </w:rPr>
        <w:t xml:space="preserve">tive way is to use </w:t>
      </w:r>
      <w:r>
        <w:rPr>
          <w:rFonts w:eastAsia="宋体"/>
        </w:rPr>
        <w:t xml:space="preserve">an </w:t>
      </w:r>
      <w:r>
        <w:rPr>
          <w:rFonts w:eastAsia="宋体" w:hint="eastAsia"/>
        </w:rPr>
        <w:t>indicator in PL-RS</w:t>
      </w:r>
      <w:r>
        <w:rPr>
          <w:rFonts w:eastAsia="宋体"/>
        </w:rPr>
        <w:t xml:space="preserve"> configuration</w:t>
      </w:r>
      <w:r>
        <w:rPr>
          <w:rFonts w:eastAsia="宋体" w:hint="eastAsia"/>
        </w:rPr>
        <w:t xml:space="preserve"> to indicate the cell where it comes from.</w:t>
      </w:r>
    </w:p>
    <w:p w:rsidR="008E1462" w:rsidRDefault="00C0295D">
      <w:pPr>
        <w:snapToGrid w:val="0"/>
        <w:spacing w:beforeLines="50" w:before="180" w:afterLines="50" w:after="180"/>
        <w:jc w:val="both"/>
        <w:rPr>
          <w:rFonts w:eastAsia="宋体"/>
          <w:i/>
          <w:iCs/>
        </w:rPr>
      </w:pPr>
      <w:r>
        <w:rPr>
          <w:rFonts w:eastAsia="宋体" w:hint="eastAsia"/>
          <w:b/>
          <w:bCs/>
          <w:i/>
          <w:iCs/>
        </w:rPr>
        <w:t>Proposal 5:</w:t>
      </w:r>
      <w:r>
        <w:rPr>
          <w:rFonts w:eastAsia="宋体" w:hint="eastAsia"/>
          <w:i/>
          <w:iCs/>
        </w:rPr>
        <w:t xml:space="preserve"> Support to use non-serving cell SSB for mobility measurement as the PL-RS for uplink transmission.</w:t>
      </w:r>
    </w:p>
    <w:p w:rsidR="008E1462" w:rsidRDefault="008E1462">
      <w:pPr>
        <w:snapToGrid w:val="0"/>
        <w:rPr>
          <w:rFonts w:eastAsia="宋体"/>
          <w:i/>
          <w:iCs/>
        </w:rPr>
      </w:pPr>
    </w:p>
    <w:p w:rsidR="008E1462" w:rsidRDefault="00C0295D">
      <w:pPr>
        <w:pStyle w:val="2"/>
        <w:snapToGrid w:val="0"/>
        <w:jc w:val="both"/>
        <w:rPr>
          <w:rFonts w:ascii="Arial" w:hAnsi="Arial" w:cs="Arial"/>
          <w:szCs w:val="22"/>
          <w:lang w:val="en-US"/>
        </w:rPr>
      </w:pPr>
      <w:r>
        <w:rPr>
          <w:rFonts w:ascii="Arial" w:hAnsi="Arial" w:cs="Arial" w:hint="eastAsia"/>
          <w:szCs w:val="22"/>
          <w:lang w:val="en-US"/>
        </w:rPr>
        <w:t>Sequence generation of non-serving cell TRS</w:t>
      </w:r>
    </w:p>
    <w:p w:rsidR="008E1462" w:rsidRDefault="00C0295D">
      <w:pPr>
        <w:snapToGrid w:val="0"/>
        <w:spacing w:beforeLines="50" w:before="180" w:afterLines="50" w:after="180"/>
        <w:jc w:val="both"/>
        <w:rPr>
          <w:rStyle w:val="normaltextrun"/>
          <w:rFonts w:eastAsia="宋体"/>
          <w:color w:val="000000" w:themeColor="text1"/>
        </w:rPr>
      </w:pPr>
      <w:r>
        <w:rPr>
          <w:rStyle w:val="normaltextrun"/>
          <w:rFonts w:eastAsia="宋体"/>
        </w:rPr>
        <w:t xml:space="preserve">In </w:t>
      </w:r>
      <w:r>
        <w:rPr>
          <w:rStyle w:val="normaltextrun"/>
          <w:rFonts w:eastAsia="宋体"/>
        </w:rPr>
        <w:t>the current specification</w:t>
      </w:r>
      <w:r>
        <w:rPr>
          <w:rStyle w:val="normaltextrun"/>
          <w:rFonts w:eastAsia="宋体" w:hint="eastAsia"/>
        </w:rPr>
        <w:t>s</w:t>
      </w:r>
      <w:r>
        <w:rPr>
          <w:rStyle w:val="normaltextrun"/>
          <w:rFonts w:eastAsia="宋体"/>
        </w:rPr>
        <w:t>, the whole TCI indication framework is TRS centric. TRS is the major RS for UE to track different types of QCL parameters. Hence it is necessary to track TRS from neighbor cell as QCL source as well.</w:t>
      </w:r>
      <w:r>
        <w:rPr>
          <w:rStyle w:val="normaltextrun"/>
          <w:rFonts w:eastAsia="宋体" w:hint="eastAsia"/>
        </w:rPr>
        <w:t xml:space="preserve"> Furthermore, one key issue is</w:t>
      </w:r>
      <w:r>
        <w:rPr>
          <w:rStyle w:val="normaltextrun"/>
          <w:rFonts w:eastAsia="宋体" w:hint="eastAsia"/>
        </w:rPr>
        <w:t xml:space="preserve"> about how to correctly initialize its sequence generation. Specifically, a</w:t>
      </w:r>
      <w:r>
        <w:rPr>
          <w:rStyle w:val="normaltextrun"/>
          <w:rFonts w:eastAsia="宋体"/>
        </w:rPr>
        <w:t xml:space="preserve">s virtual cell ID of TRS can be configured by </w:t>
      </w:r>
      <w:proofErr w:type="spellStart"/>
      <w:r>
        <w:rPr>
          <w:rStyle w:val="normaltextrun"/>
          <w:rFonts w:eastAsia="宋体"/>
        </w:rPr>
        <w:t>gNB</w:t>
      </w:r>
      <w:proofErr w:type="spellEnd"/>
      <w:r>
        <w:rPr>
          <w:rStyle w:val="normaltextrun"/>
          <w:rFonts w:eastAsia="宋体"/>
        </w:rPr>
        <w:t xml:space="preserve"> flexi</w:t>
      </w:r>
      <w:r>
        <w:rPr>
          <w:rStyle w:val="normaltextrun"/>
          <w:rFonts w:eastAsia="宋体"/>
          <w:color w:val="000000" w:themeColor="text1"/>
        </w:rPr>
        <w:t>bly,</w:t>
      </w:r>
      <w:r>
        <w:rPr>
          <w:rStyle w:val="normaltextrun"/>
          <w:rFonts w:eastAsia="宋体" w:hint="eastAsia"/>
          <w:color w:val="000000" w:themeColor="text1"/>
        </w:rPr>
        <w:t xml:space="preserve"> sequence generation of non-serving cell TRS should be based on the </w:t>
      </w:r>
      <w:r>
        <w:rPr>
          <w:rStyle w:val="normaltextrun"/>
          <w:rFonts w:eastAsia="宋体"/>
          <w:bCs/>
        </w:rPr>
        <w:t xml:space="preserve">slot index of </w:t>
      </w:r>
      <w:r>
        <w:rPr>
          <w:rStyle w:val="normaltextrun"/>
          <w:rFonts w:eastAsia="宋体" w:hint="eastAsia"/>
          <w:bCs/>
        </w:rPr>
        <w:t xml:space="preserve">the </w:t>
      </w:r>
      <w:r>
        <w:rPr>
          <w:rFonts w:eastAsia="宋体" w:hint="eastAsia"/>
        </w:rPr>
        <w:t xml:space="preserve">non-serving </w:t>
      </w:r>
      <w:r>
        <w:rPr>
          <w:rStyle w:val="normaltextrun"/>
          <w:rFonts w:eastAsia="宋体"/>
          <w:bCs/>
        </w:rPr>
        <w:t>cell</w:t>
      </w:r>
      <w:r>
        <w:rPr>
          <w:rStyle w:val="normaltextrun"/>
          <w:rFonts w:eastAsia="宋体" w:hint="eastAsia"/>
          <w:bCs/>
        </w:rPr>
        <w:t>.</w:t>
      </w:r>
      <w:r>
        <w:rPr>
          <w:rStyle w:val="normaltextrun"/>
          <w:rFonts w:eastAsia="宋体"/>
          <w:color w:val="000000" w:themeColor="text1"/>
        </w:rPr>
        <w:t xml:space="preserve"> </w:t>
      </w:r>
    </w:p>
    <w:p w:rsidR="008E1462" w:rsidRDefault="00C0295D">
      <w:pPr>
        <w:snapToGrid w:val="0"/>
        <w:spacing w:beforeLines="50" w:before="180" w:afterLines="50" w:after="180"/>
        <w:jc w:val="both"/>
        <w:rPr>
          <w:rStyle w:val="normaltextrun"/>
          <w:rFonts w:eastAsia="宋体"/>
        </w:rPr>
      </w:pPr>
      <w:r>
        <w:rPr>
          <w:rStyle w:val="normaltextrun"/>
          <w:rFonts w:eastAsia="宋体" w:hint="eastAsia"/>
        </w:rPr>
        <w:t>In the current sp</w:t>
      </w:r>
      <w:r>
        <w:rPr>
          <w:rStyle w:val="normaltextrun"/>
          <w:rFonts w:eastAsia="宋体" w:hint="eastAsia"/>
        </w:rPr>
        <w:t>ecifications, UE assume</w:t>
      </w:r>
      <w:r>
        <w:rPr>
          <w:rStyle w:val="normaltextrun"/>
          <w:rFonts w:eastAsia="宋体"/>
        </w:rPr>
        <w:t>s</w:t>
      </w:r>
      <w:r>
        <w:rPr>
          <w:rStyle w:val="normaltextrun"/>
          <w:rFonts w:eastAsia="宋体" w:hint="eastAsia"/>
        </w:rPr>
        <w:t xml:space="preserve"> the sequence generation for TRS with the following two formulas [3].</w:t>
      </w:r>
    </w:p>
    <w:p w:rsidR="008E1462" w:rsidRDefault="00C0295D">
      <w:pPr>
        <w:snapToGrid w:val="0"/>
        <w:spacing w:beforeLines="50" w:before="180" w:afterLines="50" w:after="180"/>
        <w:jc w:val="center"/>
        <w:rPr>
          <w:rStyle w:val="normaltextrun"/>
          <w:rFonts w:eastAsia="宋体"/>
        </w:rPr>
      </w:pPr>
      <w:r>
        <w:rPr>
          <w:position w:val="-26"/>
        </w:rPr>
        <w:object w:dxaOrig="3743"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15pt;height:29.25pt" o:ole="">
            <v:imagedata r:id="rId7" o:title=""/>
          </v:shape>
          <o:OLEObject Type="Embed" ProgID="Equation.3" ShapeID="_x0000_i1025" DrawAspect="Content" ObjectID="_1689777101" r:id="rId8"/>
        </w:object>
      </w:r>
    </w:p>
    <w:p w:rsidR="008E1462" w:rsidRDefault="00C0295D">
      <w:pPr>
        <w:snapToGrid w:val="0"/>
        <w:spacing w:beforeLines="50" w:before="180" w:afterLines="50" w:after="180"/>
        <w:jc w:val="both"/>
        <w:rPr>
          <w:rStyle w:val="normaltextrun"/>
          <w:rFonts w:eastAsia="宋体"/>
        </w:rP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8E1462" w:rsidRDefault="00C0295D">
      <w:pPr>
        <w:snapToGrid w:val="0"/>
        <w:spacing w:beforeLines="50" w:before="180" w:afterLines="50" w:after="180"/>
        <w:jc w:val="both"/>
        <w:rPr>
          <w:rFonts w:eastAsia="宋体"/>
        </w:rPr>
      </w:pPr>
      <w:proofErr w:type="gramStart"/>
      <w:r>
        <w:t>where</w:t>
      </w:r>
      <w:proofErr w:type="gramEnd"/>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r>
        <w:rPr>
          <w:rFonts w:eastAsia="宋体" w:hint="eastAsia"/>
        </w:rPr>
        <w:t>.</w:t>
      </w:r>
    </w:p>
    <w:p w:rsidR="008E1462" w:rsidRDefault="00C0295D">
      <w:pPr>
        <w:snapToGrid w:val="0"/>
        <w:spacing w:beforeLines="50" w:before="180" w:afterLines="50" w:after="180"/>
        <w:jc w:val="both"/>
        <w:rPr>
          <w:rStyle w:val="normaltextrun"/>
          <w:rFonts w:eastAsia="宋体"/>
          <w:color w:val="000000" w:themeColor="text1"/>
        </w:rPr>
      </w:pPr>
      <w:r>
        <w:rPr>
          <w:rStyle w:val="normaltextrun"/>
          <w:rFonts w:eastAsia="宋体" w:hint="eastAsia"/>
        </w:rPr>
        <w:t xml:space="preserve">As shown in Figure 3, UE 1 may receive TRS 1 from the serving cell and TRS 2 from the non-serving cell in the scenario of inter-cell </w:t>
      </w:r>
      <w:r>
        <w:rPr>
          <w:rFonts w:eastAsia="宋体" w:hint="eastAsia"/>
        </w:rPr>
        <w:t xml:space="preserve">MTRP </w:t>
      </w:r>
      <w:r>
        <w:rPr>
          <w:rStyle w:val="normaltextrun"/>
          <w:rFonts w:eastAsia="宋体" w:hint="eastAsia"/>
        </w:rPr>
        <w:t>operation. Meanwhile, TRS 2 is also configured to and received by UE 2 which only connects with the non-serving cell o</w:t>
      </w:r>
      <w:r>
        <w:rPr>
          <w:rStyle w:val="normaltextrun"/>
          <w:rFonts w:eastAsia="宋体" w:hint="eastAsia"/>
        </w:rPr>
        <w:t xml:space="preserve">f UE 1. Here, we assume that slot index associated to TRS 1 is denoted as </w:t>
      </w:r>
      <w:r>
        <w:rPr>
          <w:rStyle w:val="normaltextrun"/>
          <w:rFonts w:eastAsia="宋体" w:hint="eastAsia"/>
          <w:i/>
          <w:iCs/>
        </w:rPr>
        <w:t>x</w:t>
      </w:r>
      <w:r>
        <w:rPr>
          <w:rStyle w:val="normaltextrun"/>
          <w:rFonts w:eastAsia="宋体" w:hint="eastAsia"/>
        </w:rPr>
        <w:t xml:space="preserve"> and slot index associated to TRS 2 is denoted as </w:t>
      </w:r>
      <w:r>
        <w:rPr>
          <w:rStyle w:val="normaltextrun"/>
          <w:rFonts w:eastAsia="宋体" w:hint="eastAsia"/>
          <w:i/>
          <w:iCs/>
        </w:rPr>
        <w:t>y.</w:t>
      </w:r>
      <w:r>
        <w:rPr>
          <w:rStyle w:val="normaltextrun"/>
          <w:rFonts w:eastAsia="宋体" w:hint="eastAsia"/>
        </w:rPr>
        <w:t xml:space="preserve"> Due to the configuration of serving cell and </w:t>
      </w:r>
      <w:r>
        <w:rPr>
          <w:rFonts w:eastAsia="宋体" w:hint="eastAsia"/>
        </w:rPr>
        <w:t>neighbor</w:t>
      </w:r>
      <w:r>
        <w:rPr>
          <w:rStyle w:val="normaltextrun"/>
          <w:rFonts w:eastAsia="宋体" w:hint="eastAsia"/>
        </w:rPr>
        <w:t xml:space="preserve"> cell is irrelevant in some scenarios, the configured values of </w:t>
      </w:r>
      <w:r>
        <w:rPr>
          <w:rStyle w:val="normaltextrun"/>
          <w:rFonts w:eastAsia="宋体" w:hint="eastAsia"/>
          <w:i/>
          <w:iCs/>
        </w:rPr>
        <w:t>x</w:t>
      </w:r>
      <w:r>
        <w:rPr>
          <w:rStyle w:val="normaltextrun"/>
          <w:rFonts w:eastAsia="宋体" w:hint="eastAsia"/>
        </w:rPr>
        <w:t xml:space="preserve"> and </w:t>
      </w:r>
      <w:r>
        <w:rPr>
          <w:rStyle w:val="normaltextrun"/>
          <w:rFonts w:eastAsia="宋体" w:hint="eastAsia"/>
          <w:i/>
          <w:iCs/>
        </w:rPr>
        <w:t>y</w:t>
      </w:r>
      <w:r>
        <w:rPr>
          <w:rStyle w:val="normaltextrun"/>
          <w:rFonts w:eastAsia="宋体" w:hint="eastAsia"/>
        </w:rPr>
        <w:t xml:space="preserve"> </w:t>
      </w:r>
      <w:r>
        <w:rPr>
          <w:rStyle w:val="normaltextrun"/>
          <w:rFonts w:eastAsia="宋体"/>
        </w:rPr>
        <w:t>are</w:t>
      </w:r>
      <w:r>
        <w:rPr>
          <w:rStyle w:val="normaltextrun"/>
          <w:rFonts w:eastAsia="宋体"/>
        </w:rPr>
        <w:t xml:space="preserve"> mutually</w:t>
      </w:r>
      <w:r>
        <w:rPr>
          <w:rStyle w:val="normaltextrun"/>
          <w:rFonts w:eastAsia="宋体" w:hint="eastAsia"/>
        </w:rPr>
        <w:t xml:space="preserve"> independent. It should be noted that UE 1 can report</w:t>
      </w:r>
      <w:r>
        <w:rPr>
          <w:rFonts w:cs="Arial"/>
        </w:rPr>
        <w:t xml:space="preserve"> frame timing difference</w:t>
      </w:r>
      <w:r>
        <w:rPr>
          <w:rFonts w:eastAsia="宋体" w:cs="Arial" w:hint="eastAsia"/>
        </w:rPr>
        <w:t xml:space="preserve"> between serving cell and neighbor cell in an L3 measurement reporting according to TS38.331. The frame timing difference </w:t>
      </w:r>
      <w:r>
        <w:rPr>
          <w:rFonts w:eastAsia="宋体" w:cs="Arial" w:hint="eastAsia"/>
          <w:color w:val="000000" w:themeColor="text1"/>
        </w:rPr>
        <w:t>between serving cell and neighbor cell is smalle</w:t>
      </w:r>
      <w:r>
        <w:rPr>
          <w:rFonts w:eastAsia="宋体" w:cs="Arial" w:hint="eastAsia"/>
          <w:color w:val="000000" w:themeColor="text1"/>
        </w:rPr>
        <w:t>r than 5ms according to the description in TS 38.211 as shown in following table</w:t>
      </w:r>
      <w:r>
        <w:rPr>
          <w:rFonts w:eastAsia="宋体" w:cs="Arial"/>
          <w:color w:val="000000" w:themeColor="text1"/>
        </w:rPr>
        <w:t>.</w:t>
      </w:r>
      <w:r>
        <w:rPr>
          <w:rStyle w:val="normaltextrun"/>
          <w:rFonts w:eastAsia="宋体" w:hint="eastAsia"/>
          <w:color w:val="000000" w:themeColor="text1"/>
        </w:rPr>
        <w:t xml:space="preserve"> Consequently, the slot number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m:t>
            </m:r>
            <w:proofErr w:type="gramStart"/>
            <m:r>
              <m:rPr>
                <m:nor/>
              </m:rPr>
              <w:rPr>
                <w:rFonts w:ascii="Cambria Math" w:hAnsi="Cambria Math"/>
                <w:color w:val="000000" w:themeColor="text1"/>
              </w:rPr>
              <m:t>,f</m:t>
            </m:r>
            <w:proofErr w:type="gramEnd"/>
          </m:sub>
          <m:sup>
            <m:r>
              <w:rPr>
                <w:rFonts w:ascii="Cambria Math" w:hAnsi="Cambria Math"/>
                <w:color w:val="000000" w:themeColor="text1"/>
              </w:rPr>
              <m:t>μ</m:t>
            </m:r>
          </m:sup>
        </m:sSubSup>
      </m:oMath>
      <w:r>
        <w:rPr>
          <w:color w:val="000000" w:themeColor="text1"/>
        </w:rPr>
        <w:t xml:space="preserve"> </w:t>
      </w:r>
      <w:r>
        <w:rPr>
          <w:rStyle w:val="normaltextrun"/>
          <w:rFonts w:eastAsia="宋体" w:hint="eastAsia"/>
          <w:color w:val="000000" w:themeColor="text1"/>
        </w:rPr>
        <w:t>of serving cell and neighbor cell can be different in some scenarios.</w:t>
      </w:r>
    </w:p>
    <w:p w:rsidR="008E1462" w:rsidRDefault="00C0295D">
      <w:pPr>
        <w:snapToGrid w:val="0"/>
        <w:spacing w:beforeLines="50" w:before="180" w:afterLines="50" w:after="180"/>
        <w:jc w:val="center"/>
      </w:pPr>
      <w:r>
        <w:rPr>
          <w:noProof/>
        </w:rPr>
        <w:drawing>
          <wp:inline distT="0" distB="0" distL="114300" distR="114300">
            <wp:extent cx="4289425" cy="1399540"/>
            <wp:effectExtent l="0" t="0" r="3175"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289425" cy="1399540"/>
                    </a:xfrm>
                    <a:prstGeom prst="rect">
                      <a:avLst/>
                    </a:prstGeom>
                    <a:noFill/>
                    <a:ln>
                      <a:noFill/>
                    </a:ln>
                  </pic:spPr>
                </pic:pic>
              </a:graphicData>
            </a:graphic>
          </wp:inline>
        </w:drawing>
      </w:r>
    </w:p>
    <w:p w:rsidR="008E1462" w:rsidRDefault="00C0295D">
      <w:pPr>
        <w:snapToGrid w:val="0"/>
        <w:spacing w:beforeLines="50" w:before="180" w:afterLines="50" w:after="180"/>
        <w:jc w:val="center"/>
        <w:rPr>
          <w:rStyle w:val="normaltextrun"/>
          <w:rFonts w:eastAsia="宋体"/>
          <w:color w:val="000000" w:themeColor="text1"/>
        </w:rPr>
      </w:pPr>
      <w:r>
        <w:rPr>
          <w:rFonts w:eastAsia="宋体" w:hint="eastAsia"/>
          <w:b/>
          <w:bCs/>
        </w:rPr>
        <w:t>Figure 3:</w:t>
      </w:r>
      <w:r>
        <w:rPr>
          <w:rFonts w:eastAsia="宋体" w:hint="eastAsia"/>
        </w:rPr>
        <w:tab/>
        <w:t>TRS with respective SFN of inter-cell MTRP operation</w:t>
      </w:r>
    </w:p>
    <w:tbl>
      <w:tblPr>
        <w:tblStyle w:val="af1"/>
        <w:tblW w:w="93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4"/>
      </w:tblGrid>
      <w:tr w:rsidR="008E1462">
        <w:tc>
          <w:tcPr>
            <w:tcW w:w="9354" w:type="dxa"/>
          </w:tcPr>
          <w:p w:rsidR="008E1462" w:rsidRDefault="00C0295D">
            <w:pPr>
              <w:snapToGrid w:val="0"/>
              <w:spacing w:beforeLines="50" w:before="180" w:afterLines="50" w:after="180"/>
              <w:jc w:val="both"/>
              <w:rPr>
                <w:b/>
                <w:bCs/>
              </w:rPr>
            </w:pPr>
            <w:r>
              <w:rPr>
                <w:rStyle w:val="normaltextrun"/>
                <w:rFonts w:eastAsia="宋体" w:hint="eastAsia"/>
                <w:b/>
                <w:bCs/>
              </w:rPr>
              <w:lastRenderedPageBreak/>
              <w:t xml:space="preserve">TS 38.211, </w:t>
            </w:r>
            <w:proofErr w:type="spellStart"/>
            <w:r>
              <w:rPr>
                <w:rStyle w:val="normaltextrun"/>
                <w:rFonts w:eastAsia="宋体" w:hint="eastAsia"/>
                <w:b/>
                <w:bCs/>
              </w:rPr>
              <w:t>Subclause</w:t>
            </w:r>
            <w:proofErr w:type="spellEnd"/>
            <w:r>
              <w:rPr>
                <w:rStyle w:val="normaltextrun"/>
                <w:rFonts w:eastAsia="宋体" w:hint="eastAsia"/>
                <w:b/>
                <w:bCs/>
              </w:rPr>
              <w:t xml:space="preserve"> </w:t>
            </w:r>
            <w:r>
              <w:rPr>
                <w:b/>
                <w:bCs/>
              </w:rPr>
              <w:t>6.3.3.2</w:t>
            </w:r>
            <w:r>
              <w:rPr>
                <w:b/>
                <w:bCs/>
              </w:rPr>
              <w:tab/>
              <w:t>Mapping to physical resource</w:t>
            </w:r>
          </w:p>
          <w:p w:rsidR="008E1462" w:rsidRDefault="00C0295D">
            <w:pPr>
              <w:snapToGrid w:val="0"/>
              <w:spacing w:beforeLines="50" w:before="180" w:afterLines="50" w:after="180"/>
              <w:jc w:val="both"/>
              <w:rPr>
                <w:rFonts w:eastAsia="宋体"/>
                <w:i/>
                <w:iCs/>
              </w:rPr>
            </w:pPr>
            <w:r>
              <w:rPr>
                <w:rFonts w:eastAsia="宋体" w:hint="eastAsia"/>
                <w:i/>
                <w:iCs/>
              </w:rPr>
              <w:t>&lt;Omitted Part&gt;</w:t>
            </w:r>
          </w:p>
          <w:p w:rsidR="008E1462" w:rsidRDefault="00C0295D">
            <w:pPr>
              <w:snapToGrid w:val="0"/>
              <w:spacing w:beforeLines="50" w:before="180" w:afterLines="50" w:after="180"/>
              <w:jc w:val="both"/>
              <w:rPr>
                <w:rFonts w:eastAsia="Batang"/>
              </w:rPr>
            </w:pPr>
            <w:r>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w:t>
            </w:r>
            <w:proofErr w:type="spellStart"/>
            <w:r>
              <w:rPr>
                <w:rFonts w:eastAsia="Batang"/>
              </w:rPr>
              <w:t>ms.</w:t>
            </w:r>
            <w:proofErr w:type="spellEnd"/>
          </w:p>
          <w:p w:rsidR="008E1462" w:rsidRDefault="00C0295D">
            <w:pPr>
              <w:snapToGrid w:val="0"/>
              <w:spacing w:beforeLines="50" w:before="180" w:afterLines="50" w:after="180"/>
              <w:jc w:val="both"/>
              <w:rPr>
                <w:rStyle w:val="normaltextrun"/>
                <w:rFonts w:eastAsia="宋体"/>
              </w:rPr>
            </w:pPr>
            <w:r>
              <w:rPr>
                <w:rFonts w:eastAsia="宋体" w:hint="eastAsia"/>
                <w:i/>
                <w:iCs/>
              </w:rPr>
              <w:t>&lt;Omitte</w:t>
            </w:r>
            <w:r>
              <w:rPr>
                <w:rFonts w:eastAsia="宋体" w:hint="eastAsia"/>
                <w:i/>
                <w:iCs/>
              </w:rPr>
              <w:t>d Part&gt;</w:t>
            </w:r>
          </w:p>
        </w:tc>
      </w:tr>
    </w:tbl>
    <w:p w:rsidR="008E1462" w:rsidRDefault="00C0295D">
      <w:pPr>
        <w:snapToGrid w:val="0"/>
        <w:spacing w:beforeLines="50" w:before="180" w:afterLines="50" w:after="180"/>
        <w:jc w:val="both"/>
        <w:rPr>
          <w:color w:val="000000" w:themeColor="text1"/>
        </w:rPr>
      </w:pPr>
      <w:r>
        <w:rPr>
          <w:rStyle w:val="normaltextrun"/>
          <w:rFonts w:eastAsia="宋体" w:hint="eastAsia"/>
        </w:rPr>
        <w:t xml:space="preserve">If UE 1 assumes the sequence generation for neighbor cell TRS 2 based on the serving cell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Style w:val="normaltextrun"/>
          <w:rFonts w:eastAsia="宋体" w:hint="eastAsia"/>
        </w:rPr>
        <w:t>,</w:t>
      </w:r>
      <w:r>
        <w:t xml:space="preserve"> </w:t>
      </w:r>
      <w:r>
        <w:rPr>
          <w:rFonts w:eastAsia="宋体" w:hint="eastAsia"/>
        </w:rPr>
        <w:t xml:space="preserve">the neighbor cell TRP must transmit TRS 2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Pr>
          <w:rFonts w:eastAsia="宋体" w:hint="eastAsia"/>
        </w:rPr>
        <w:t xml:space="preserve">. In such case, TRS 2 cannot be shared </w:t>
      </w:r>
      <w:r>
        <w:rPr>
          <w:rFonts w:eastAsia="宋体"/>
        </w:rPr>
        <w:t>between</w:t>
      </w:r>
      <w:r>
        <w:rPr>
          <w:rFonts w:eastAsia="宋体" w:hint="eastAsia"/>
        </w:rPr>
        <w:t xml:space="preserve"> UE 1 and some other UE</w:t>
      </w:r>
      <w:r>
        <w:rPr>
          <w:rFonts w:eastAsia="宋体"/>
        </w:rPr>
        <w:t>s</w:t>
      </w:r>
      <w:r>
        <w:rPr>
          <w:rFonts w:eastAsia="宋体" w:hint="eastAsia"/>
        </w:rPr>
        <w:t xml:space="preserve"> (such as</w:t>
      </w:r>
      <w:r>
        <w:rPr>
          <w:rFonts w:eastAsia="宋体" w:hint="eastAsia"/>
          <w:color w:val="000000" w:themeColor="text1"/>
        </w:rPr>
        <w:t xml:space="preserve"> UE 2 in Fi</w:t>
      </w:r>
      <w:r>
        <w:rPr>
          <w:rFonts w:eastAsia="宋体" w:hint="eastAsia"/>
          <w:color w:val="000000" w:themeColor="text1"/>
        </w:rPr>
        <w:t xml:space="preserve">gure 3) connected </w:t>
      </w:r>
      <w:r>
        <w:rPr>
          <w:rFonts w:eastAsia="宋体"/>
          <w:color w:val="000000" w:themeColor="text1"/>
        </w:rPr>
        <w:t>to</w:t>
      </w:r>
      <w:r>
        <w:rPr>
          <w:rFonts w:eastAsia="宋体" w:hint="eastAsia"/>
          <w:color w:val="000000" w:themeColor="text1"/>
        </w:rPr>
        <w:t xml:space="preserve"> the neighbor cell.</w:t>
      </w:r>
      <w:r>
        <w:rPr>
          <w:rStyle w:val="normaltextrun"/>
          <w:rFonts w:eastAsia="宋体" w:hint="eastAsia"/>
          <w:color w:val="000000" w:themeColor="text1"/>
        </w:rPr>
        <w:t xml:space="preserve"> </w:t>
      </w:r>
      <w:r>
        <w:rPr>
          <w:rFonts w:eastAsia="宋体"/>
          <w:color w:val="000000" w:themeColor="text1"/>
        </w:rPr>
        <w:t>Then it costs large TRS overhead.</w:t>
      </w:r>
      <w:r>
        <w:rPr>
          <w:rStyle w:val="normaltextrun"/>
          <w:rFonts w:eastAsia="宋体" w:hint="eastAsia"/>
          <w:color w:val="000000" w:themeColor="text1"/>
        </w:rPr>
        <w:t xml:space="preserve"> In order to address this issue, sequence generations for TRS from serving cell and TRS from neighbor cell should be based on its respective slot index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s,f</m:t>
            </m:r>
          </m:sub>
          <m:sup>
            <m:r>
              <w:rPr>
                <w:rFonts w:ascii="Cambria Math" w:hAnsi="Cambria Math"/>
                <w:color w:val="000000" w:themeColor="text1"/>
              </w:rPr>
              <m:t>μ</m:t>
            </m:r>
          </m:sup>
        </m:sSubSup>
      </m:oMath>
      <w:r>
        <w:rPr>
          <w:rStyle w:val="normaltextrun"/>
          <w:rFonts w:eastAsia="宋体"/>
          <w:color w:val="000000" w:themeColor="text1"/>
        </w:rPr>
        <w:t xml:space="preserve">, i.e., TRS used as TCI source from </w:t>
      </w:r>
      <w:r>
        <w:rPr>
          <w:rStyle w:val="normaltextrun"/>
          <w:rFonts w:eastAsia="宋体" w:hint="eastAsia"/>
          <w:color w:val="000000" w:themeColor="text1"/>
        </w:rPr>
        <w:t xml:space="preserve">a </w:t>
      </w:r>
      <w:r>
        <w:rPr>
          <w:rStyle w:val="normaltextrun"/>
          <w:rFonts w:eastAsia="宋体"/>
          <w:color w:val="000000" w:themeColor="text1"/>
        </w:rPr>
        <w:t xml:space="preserve">neighbor cell should generate the sequence based on the slot index from </w:t>
      </w:r>
      <w:r>
        <w:rPr>
          <w:rStyle w:val="normaltextrun"/>
          <w:rFonts w:eastAsia="宋体" w:hint="eastAsia"/>
          <w:color w:val="000000" w:themeColor="text1"/>
        </w:rPr>
        <w:t xml:space="preserve">this </w:t>
      </w:r>
      <w:r>
        <w:rPr>
          <w:rStyle w:val="normaltextrun"/>
          <w:rFonts w:eastAsia="宋体"/>
          <w:color w:val="000000" w:themeColor="text1"/>
        </w:rPr>
        <w:t xml:space="preserve">neighbor </w:t>
      </w:r>
      <w:r>
        <w:rPr>
          <w:rStyle w:val="normaltextrun"/>
          <w:rFonts w:eastAsia="宋体" w:hint="eastAsia"/>
          <w:color w:val="000000" w:themeColor="text1"/>
        </w:rPr>
        <w:t>cell</w:t>
      </w:r>
      <w:r>
        <w:rPr>
          <w:rStyle w:val="normaltextrun"/>
          <w:rFonts w:eastAsia="宋体"/>
          <w:color w:val="000000" w:themeColor="text1"/>
        </w:rPr>
        <w:t>.</w:t>
      </w:r>
    </w:p>
    <w:p w:rsidR="008E1462" w:rsidRDefault="00C0295D">
      <w:pPr>
        <w:pStyle w:val="a7"/>
        <w:snapToGrid w:val="0"/>
        <w:spacing w:beforeLines="50" w:before="180" w:afterLines="50" w:after="180"/>
        <w:rPr>
          <w:rStyle w:val="normaltextrun"/>
          <w:rFonts w:eastAsia="宋体"/>
          <w:bCs/>
          <w:i/>
          <w:iCs/>
          <w:sz w:val="20"/>
        </w:rPr>
      </w:pPr>
      <w:r>
        <w:rPr>
          <w:rStyle w:val="normaltextrun"/>
          <w:rFonts w:eastAsiaTheme="minorEastAsia" w:hint="eastAsia"/>
          <w:b/>
          <w:i/>
          <w:iCs/>
          <w:sz w:val="20"/>
        </w:rPr>
        <w:t>Proposal 6:</w:t>
      </w:r>
      <w:r>
        <w:rPr>
          <w:rStyle w:val="normaltextrun"/>
          <w:rFonts w:eastAsiaTheme="minorEastAsia" w:hint="eastAsia"/>
          <w:bCs/>
          <w:i/>
          <w:iCs/>
          <w:sz w:val="20"/>
        </w:rPr>
        <w:t xml:space="preserve"> </w:t>
      </w:r>
      <w:r>
        <w:rPr>
          <w:rStyle w:val="normaltextrun"/>
          <w:rFonts w:eastAsia="宋体" w:hint="eastAsia"/>
          <w:bCs/>
          <w:i/>
          <w:iCs/>
          <w:sz w:val="20"/>
        </w:rPr>
        <w:t>S</w:t>
      </w:r>
      <w:r>
        <w:rPr>
          <w:rStyle w:val="normaltextrun"/>
          <w:rFonts w:eastAsia="宋体"/>
          <w:bCs/>
          <w:i/>
          <w:iCs/>
          <w:sz w:val="20"/>
        </w:rPr>
        <w:t xml:space="preserve">equence generation of </w:t>
      </w:r>
      <w:r>
        <w:rPr>
          <w:rStyle w:val="normaltextrun"/>
          <w:rFonts w:eastAsia="宋体" w:hint="eastAsia"/>
          <w:bCs/>
          <w:i/>
          <w:iCs/>
          <w:sz w:val="20"/>
        </w:rPr>
        <w:t xml:space="preserve">a </w:t>
      </w:r>
      <w:r>
        <w:rPr>
          <w:rFonts w:eastAsia="宋体" w:hint="eastAsia"/>
          <w:i/>
          <w:iCs/>
          <w:sz w:val="20"/>
        </w:rPr>
        <w:t xml:space="preserve">non-serving </w:t>
      </w:r>
      <w:r>
        <w:rPr>
          <w:rStyle w:val="normaltextrun"/>
          <w:rFonts w:eastAsia="宋体" w:hint="eastAsia"/>
          <w:bCs/>
          <w:i/>
          <w:iCs/>
          <w:sz w:val="20"/>
        </w:rPr>
        <w:t>cell</w:t>
      </w:r>
      <w:r>
        <w:rPr>
          <w:rStyle w:val="normaltextrun"/>
          <w:rFonts w:eastAsia="宋体"/>
          <w:bCs/>
          <w:i/>
          <w:iCs/>
          <w:sz w:val="20"/>
        </w:rPr>
        <w:t xml:space="preserve"> TRS</w:t>
      </w:r>
      <w:r>
        <w:rPr>
          <w:rStyle w:val="normaltextrun"/>
          <w:rFonts w:eastAsia="宋体" w:hint="eastAsia"/>
          <w:bCs/>
          <w:i/>
          <w:iCs/>
          <w:sz w:val="20"/>
        </w:rPr>
        <w:t xml:space="preserve"> used as TCI source should be </w:t>
      </w:r>
      <w:r>
        <w:rPr>
          <w:rStyle w:val="normaltextrun"/>
          <w:rFonts w:eastAsia="宋体"/>
          <w:bCs/>
          <w:i/>
          <w:iCs/>
          <w:sz w:val="20"/>
        </w:rPr>
        <w:t xml:space="preserve">based on slot index of </w:t>
      </w:r>
      <w:r>
        <w:rPr>
          <w:rStyle w:val="normaltextrun"/>
          <w:rFonts w:eastAsia="宋体" w:hint="eastAsia"/>
          <w:bCs/>
          <w:i/>
          <w:iCs/>
          <w:sz w:val="20"/>
        </w:rPr>
        <w:t xml:space="preserve">this </w:t>
      </w:r>
      <w:r>
        <w:rPr>
          <w:rFonts w:eastAsia="宋体" w:hint="eastAsia"/>
          <w:i/>
          <w:iCs/>
          <w:sz w:val="20"/>
        </w:rPr>
        <w:t xml:space="preserve">non-serving </w:t>
      </w:r>
      <w:r>
        <w:rPr>
          <w:rStyle w:val="normaltextrun"/>
          <w:rFonts w:eastAsia="宋体"/>
          <w:bCs/>
          <w:i/>
          <w:iCs/>
          <w:sz w:val="20"/>
        </w:rPr>
        <w:t>cell.</w:t>
      </w:r>
    </w:p>
    <w:p w:rsidR="008E1462" w:rsidRDefault="008E1462">
      <w:pPr>
        <w:pStyle w:val="a7"/>
        <w:snapToGrid w:val="0"/>
        <w:spacing w:beforeLines="50" w:before="180" w:afterLines="50" w:after="180"/>
        <w:rPr>
          <w:rStyle w:val="normaltextrun"/>
          <w:rFonts w:eastAsia="宋体"/>
          <w:bCs/>
          <w:i/>
          <w:iCs/>
          <w:sz w:val="20"/>
        </w:rPr>
      </w:pPr>
    </w:p>
    <w:p w:rsidR="008E1462" w:rsidRDefault="00C0295D">
      <w:pPr>
        <w:pStyle w:val="2"/>
        <w:snapToGrid w:val="0"/>
        <w:jc w:val="both"/>
        <w:rPr>
          <w:rFonts w:ascii="Arial" w:hAnsi="Arial" w:cs="Arial"/>
          <w:szCs w:val="22"/>
          <w:lang w:val="en-US"/>
        </w:rPr>
      </w:pPr>
      <w:r>
        <w:rPr>
          <w:rFonts w:ascii="Arial" w:hAnsi="Arial" w:cs="Arial" w:hint="eastAsia"/>
          <w:szCs w:val="22"/>
          <w:lang w:val="en-US"/>
        </w:rPr>
        <w:t>Rate matching and collision handling</w:t>
      </w:r>
    </w:p>
    <w:p w:rsidR="008E1462" w:rsidRDefault="00C0295D">
      <w:pPr>
        <w:snapToGrid w:val="0"/>
        <w:spacing w:beforeLines="50" w:before="180" w:afterLines="50" w:after="180"/>
        <w:jc w:val="both"/>
        <w:rPr>
          <w:rFonts w:eastAsia="宋体"/>
          <w:iCs/>
          <w:szCs w:val="20"/>
        </w:rPr>
      </w:pPr>
      <w:r>
        <w:rPr>
          <w:rFonts w:eastAsia="宋体" w:hint="eastAsia"/>
          <w:iCs/>
          <w:szCs w:val="20"/>
        </w:rPr>
        <w:t>In RAN1#104-e meeting, the following agreement was agreed that non-serving cell SSB should be rate matched around PDSCH/PDCCH from the same non-serving cell [1].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1462">
        <w:tc>
          <w:tcPr>
            <w:tcW w:w="9576" w:type="dxa"/>
          </w:tcPr>
          <w:p w:rsidR="008E1462" w:rsidRDefault="00C0295D">
            <w:pPr>
              <w:snapToGrid w:val="0"/>
              <w:spacing w:beforeLines="50" w:before="180" w:afterLines="50" w:after="180"/>
              <w:jc w:val="both"/>
              <w:rPr>
                <w:rFonts w:eastAsiaTheme="minorEastAsia"/>
                <w:b/>
                <w:bCs/>
                <w:szCs w:val="20"/>
              </w:rPr>
            </w:pPr>
            <w:r>
              <w:rPr>
                <w:rFonts w:eastAsiaTheme="minorEastAsia" w:hint="eastAsia"/>
                <w:b/>
                <w:bCs/>
                <w:szCs w:val="20"/>
              </w:rPr>
              <w:t>RAN1 #104-e</w:t>
            </w:r>
          </w:p>
          <w:p w:rsidR="008E1462" w:rsidRDefault="00C0295D">
            <w:pPr>
              <w:shd w:val="clear" w:color="auto" w:fill="FFFFFF"/>
              <w:snapToGrid w:val="0"/>
              <w:rPr>
                <w:i/>
                <w:iCs/>
                <w:szCs w:val="20"/>
              </w:rPr>
            </w:pPr>
            <w:r>
              <w:rPr>
                <w:b/>
                <w:i/>
                <w:iCs/>
                <w:u w:val="single"/>
                <w:lang w:val="en-GB"/>
              </w:rPr>
              <w:t>Agreement</w:t>
            </w:r>
          </w:p>
          <w:p w:rsidR="008E1462" w:rsidRDefault="00C0295D">
            <w:pPr>
              <w:shd w:val="clear" w:color="auto" w:fill="FFFFFF"/>
              <w:snapToGrid w:val="0"/>
              <w:rPr>
                <w:i/>
                <w:iCs/>
                <w:szCs w:val="20"/>
              </w:rPr>
            </w:pPr>
            <w:r>
              <w:rPr>
                <w:i/>
                <w:iCs/>
                <w:szCs w:val="20"/>
              </w:rPr>
              <w:t>Agree on scheme1</w:t>
            </w:r>
          </w:p>
          <w:p w:rsidR="008E1462" w:rsidRDefault="00C0295D">
            <w:pPr>
              <w:shd w:val="clear" w:color="auto" w:fill="FFFFFF"/>
              <w:snapToGrid w:val="0"/>
              <w:rPr>
                <w:i/>
                <w:iCs/>
                <w:szCs w:val="20"/>
              </w:rPr>
            </w:pPr>
            <w:r>
              <w:rPr>
                <w:i/>
                <w:iCs/>
                <w:szCs w:val="20"/>
              </w:rPr>
              <w:t>-     Scheme1: PDSCH/PDCCH from non-serving cell (PCI) associated with TCI state and/or QCL-info is rate matched around non-serving cell SSB with the same PCI</w:t>
            </w:r>
          </w:p>
          <w:p w:rsidR="008E1462" w:rsidRDefault="00C0295D">
            <w:pPr>
              <w:shd w:val="clear" w:color="auto" w:fill="FFFFFF"/>
              <w:snapToGrid w:val="0"/>
              <w:rPr>
                <w:i/>
                <w:iCs/>
                <w:szCs w:val="20"/>
              </w:rPr>
            </w:pPr>
            <w:r>
              <w:rPr>
                <w:i/>
                <w:iCs/>
                <w:szCs w:val="20"/>
              </w:rPr>
              <w:t xml:space="preserve">-     FFS: whether PDSCH /PDCCH from serving cell (PCI) is rate matched around non-serving cell </w:t>
            </w:r>
            <w:r>
              <w:rPr>
                <w:i/>
                <w:iCs/>
                <w:szCs w:val="20"/>
              </w:rPr>
              <w:t>SSB</w:t>
            </w:r>
          </w:p>
          <w:p w:rsidR="008E1462" w:rsidRDefault="00C0295D">
            <w:pPr>
              <w:shd w:val="clear" w:color="auto" w:fill="FFFFFF"/>
              <w:snapToGrid w:val="0"/>
              <w:rPr>
                <w:rFonts w:eastAsiaTheme="minorEastAsia"/>
                <w:szCs w:val="20"/>
              </w:rPr>
            </w:pPr>
            <w:r>
              <w:rPr>
                <w:i/>
                <w:iCs/>
                <w:szCs w:val="20"/>
              </w:rPr>
              <w:t>-     FFS: whether PDSCH/PDCCH from non-serving cell (PCI) associated with TCI state and/or QCL-info is rate matched around serving cell SSB</w:t>
            </w:r>
          </w:p>
        </w:tc>
      </w:tr>
    </w:tbl>
    <w:p w:rsidR="008E1462" w:rsidRDefault="00C0295D">
      <w:pPr>
        <w:snapToGrid w:val="0"/>
        <w:spacing w:beforeLines="50" w:before="180" w:afterLines="50" w:after="180"/>
        <w:jc w:val="both"/>
        <w:rPr>
          <w:rFonts w:eastAsia="宋体"/>
          <w:color w:val="000000"/>
        </w:rPr>
      </w:pPr>
      <w:r>
        <w:rPr>
          <w:rFonts w:eastAsia="宋体" w:hint="eastAsia"/>
          <w:iCs/>
          <w:szCs w:val="20"/>
        </w:rPr>
        <w:t>First, one remaining issue is whether non-serving cell PDSCH/PDCCH need to be rate matched around all non-serv</w:t>
      </w:r>
      <w:r>
        <w:rPr>
          <w:rFonts w:eastAsia="宋体" w:hint="eastAsia"/>
          <w:iCs/>
          <w:szCs w:val="20"/>
        </w:rPr>
        <w:t xml:space="preserve">ing cell SSBs with the same PCI. Based on the current specification for intra-cell MTRP operation, </w:t>
      </w:r>
      <w:r>
        <w:rPr>
          <w:color w:val="000000"/>
        </w:rPr>
        <w:t xml:space="preserve">the PRBs containing </w:t>
      </w:r>
      <w:r>
        <w:rPr>
          <w:rFonts w:eastAsia="宋体" w:hint="eastAsia"/>
          <w:color w:val="000000"/>
        </w:rPr>
        <w:t>SSB</w:t>
      </w:r>
      <w:r>
        <w:rPr>
          <w:color w:val="000000"/>
        </w:rPr>
        <w:t xml:space="preserve"> transmission resources are not available for PDSCH in the OFDM symbols where SS/PBCH block is transmitted</w:t>
      </w:r>
      <w:r>
        <w:rPr>
          <w:rFonts w:eastAsia="宋体" w:hint="eastAsia"/>
          <w:color w:val="000000"/>
        </w:rPr>
        <w:t xml:space="preserve"> </w:t>
      </w:r>
      <w:r>
        <w:rPr>
          <w:color w:val="000000"/>
        </w:rPr>
        <w:t xml:space="preserve">according to </w:t>
      </w:r>
      <w:proofErr w:type="spellStart"/>
      <w:r>
        <w:rPr>
          <w:i/>
          <w:color w:val="000000"/>
        </w:rPr>
        <w:t>ssb-PositionsI</w:t>
      </w:r>
      <w:r>
        <w:rPr>
          <w:i/>
          <w:color w:val="000000"/>
        </w:rPr>
        <w:t>nBurst</w:t>
      </w:r>
      <w:proofErr w:type="spellEnd"/>
      <w:r>
        <w:rPr>
          <w:rFonts w:eastAsia="宋体" w:hint="eastAsia"/>
          <w:color w:val="000000"/>
        </w:rPr>
        <w:t xml:space="preserve">. Accordingly, it means PDSCH should be rate matched around all SSB configured in </w:t>
      </w:r>
      <w:proofErr w:type="spellStart"/>
      <w:r>
        <w:rPr>
          <w:i/>
          <w:color w:val="000000"/>
        </w:rPr>
        <w:t>ssb-PositionsInBurst</w:t>
      </w:r>
      <w:proofErr w:type="spellEnd"/>
      <w:r>
        <w:rPr>
          <w:rFonts w:eastAsia="宋体" w:hint="eastAsia"/>
          <w:i/>
          <w:color w:val="000000"/>
        </w:rPr>
        <w:t xml:space="preserve">. </w:t>
      </w:r>
      <w:r>
        <w:rPr>
          <w:rFonts w:eastAsia="宋体" w:hint="eastAsia"/>
          <w:color w:val="000000"/>
        </w:rPr>
        <w:t xml:space="preserve">For inter-cell MTRP, considering that the non-serving cell SSB configured in </w:t>
      </w:r>
      <w:proofErr w:type="spellStart"/>
      <w:r>
        <w:rPr>
          <w:i/>
          <w:color w:val="000000"/>
        </w:rPr>
        <w:t>ssb-PositionsInBurst</w:t>
      </w:r>
      <w:proofErr w:type="spellEnd"/>
      <w:r>
        <w:rPr>
          <w:rFonts w:eastAsia="宋体" w:hint="eastAsia"/>
          <w:color w:val="000000"/>
        </w:rPr>
        <w:t xml:space="preserve"> may can be used for beam measurement of L1/L2 mo</w:t>
      </w:r>
      <w:r>
        <w:rPr>
          <w:rFonts w:eastAsia="宋体" w:hint="eastAsia"/>
          <w:color w:val="000000"/>
        </w:rPr>
        <w:t>bility as well, it is sufficient to rate match around a part of  such SSBs, not all of them. As shown in Figure 4, non-serving cell SSB#0 to SSB#5 are configured for L1/L2 mobility when UE moves from point A to point B near the serving cell edge. When UE a</w:t>
      </w:r>
      <w:r>
        <w:rPr>
          <w:rFonts w:eastAsia="宋体" w:hint="eastAsia"/>
          <w:color w:val="000000"/>
        </w:rPr>
        <w:t xml:space="preserve">llocated in point A, SSB#1 is indicated as </w:t>
      </w:r>
      <w:proofErr w:type="spellStart"/>
      <w:r>
        <w:rPr>
          <w:rFonts w:eastAsia="宋体" w:hint="eastAsia"/>
          <w:color w:val="000000"/>
        </w:rPr>
        <w:t>QCLed</w:t>
      </w:r>
      <w:proofErr w:type="spellEnd"/>
      <w:r>
        <w:rPr>
          <w:rFonts w:eastAsia="宋体" w:hint="eastAsia"/>
          <w:color w:val="000000"/>
        </w:rPr>
        <w:t xml:space="preserve"> RS for non-serving cell PDSCH, it is enough to rate match PDSCH around SSB#0, SSB#1 and SSB#2 (set as group#1), because the interference caused by SSB#3, SSB#4 and SSB#5 (set as group#2) is small and can be </w:t>
      </w:r>
      <w:r>
        <w:rPr>
          <w:rFonts w:eastAsia="宋体" w:hint="eastAsia"/>
          <w:color w:val="000000"/>
        </w:rPr>
        <w:t>negligible. Based on that, once a</w:t>
      </w:r>
      <w:r>
        <w:rPr>
          <w:rFonts w:eastAsia="宋体" w:hint="eastAsia"/>
          <w:color w:val="000000"/>
        </w:rPr>
        <w:t xml:space="preserve"> non-serving cel</w:t>
      </w:r>
      <w:bookmarkStart w:id="1" w:name="_GoBack"/>
      <w:bookmarkEnd w:id="1"/>
      <w:r>
        <w:rPr>
          <w:rFonts w:eastAsia="宋体" w:hint="eastAsia"/>
          <w:color w:val="000000"/>
        </w:rPr>
        <w:t>l SSB QCL-</w:t>
      </w:r>
      <w:proofErr w:type="spellStart"/>
      <w:r>
        <w:rPr>
          <w:rFonts w:eastAsia="宋体" w:hint="eastAsia"/>
          <w:color w:val="000000"/>
        </w:rPr>
        <w:t>ed</w:t>
      </w:r>
      <w:proofErr w:type="spellEnd"/>
      <w:r>
        <w:rPr>
          <w:rFonts w:eastAsia="宋体" w:hint="eastAsia"/>
          <w:color w:val="000000"/>
        </w:rPr>
        <w:t xml:space="preserve"> with PDSCH/PDCCH is included in a SSB group, PDSCH/PDCCH should be rated matched around all the SSBs in the SSB group. With respect to the approach on set all non-serving cell SSBs as multiple </w:t>
      </w:r>
      <w:r>
        <w:rPr>
          <w:rFonts w:eastAsia="宋体" w:hint="eastAsia"/>
          <w:color w:val="000000"/>
        </w:rPr>
        <w:t xml:space="preserve">groups, this may depend on </w:t>
      </w:r>
      <w:proofErr w:type="spellStart"/>
      <w:r>
        <w:rPr>
          <w:rFonts w:eastAsia="宋体" w:hint="eastAsia"/>
          <w:color w:val="000000"/>
        </w:rPr>
        <w:t>gNB</w:t>
      </w:r>
      <w:proofErr w:type="spellEnd"/>
      <w:r>
        <w:rPr>
          <w:rFonts w:eastAsia="宋体" w:hint="eastAsia"/>
          <w:color w:val="000000"/>
        </w:rPr>
        <w:t xml:space="preserve"> implementation and can be informed by RRC or MAC CE. The details can be further studied and discussed.</w:t>
      </w:r>
    </w:p>
    <w:p w:rsidR="008E1462" w:rsidRDefault="00C0295D">
      <w:pPr>
        <w:snapToGrid w:val="0"/>
        <w:spacing w:beforeLines="50" w:before="180" w:afterLines="50" w:after="180"/>
        <w:jc w:val="center"/>
        <w:rPr>
          <w:rFonts w:eastAsia="宋体"/>
          <w:color w:val="000000"/>
        </w:rPr>
      </w:pPr>
      <w:r>
        <w:rPr>
          <w:noProof/>
        </w:rPr>
        <w:lastRenderedPageBreak/>
        <w:drawing>
          <wp:inline distT="0" distB="0" distL="114300" distR="114300">
            <wp:extent cx="4293870" cy="1586865"/>
            <wp:effectExtent l="0" t="0" r="381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4293870" cy="1586865"/>
                    </a:xfrm>
                    <a:prstGeom prst="rect">
                      <a:avLst/>
                    </a:prstGeom>
                    <a:noFill/>
                    <a:ln>
                      <a:noFill/>
                    </a:ln>
                  </pic:spPr>
                </pic:pic>
              </a:graphicData>
            </a:graphic>
          </wp:inline>
        </w:drawing>
      </w:r>
    </w:p>
    <w:p w:rsidR="008E1462" w:rsidRDefault="00C0295D">
      <w:pPr>
        <w:snapToGrid w:val="0"/>
        <w:spacing w:beforeLines="50" w:before="180" w:afterLines="50" w:after="180"/>
        <w:jc w:val="center"/>
        <w:rPr>
          <w:rFonts w:eastAsia="宋体"/>
          <w:color w:val="000000"/>
        </w:rPr>
      </w:pPr>
      <w:r>
        <w:rPr>
          <w:rFonts w:eastAsia="宋体" w:hint="eastAsia"/>
          <w:b/>
          <w:bCs/>
          <w:color w:val="000000"/>
        </w:rPr>
        <w:t>Figure 4:</w:t>
      </w:r>
      <w:r>
        <w:rPr>
          <w:rFonts w:eastAsia="宋体" w:hint="eastAsia"/>
          <w:color w:val="000000"/>
        </w:rPr>
        <w:t xml:space="preserve"> Group based rate matching for inter-cell MTRP operation</w:t>
      </w:r>
    </w:p>
    <w:p w:rsidR="008E1462" w:rsidRDefault="00C0295D">
      <w:pPr>
        <w:snapToGrid w:val="0"/>
        <w:spacing w:beforeLines="50" w:before="180" w:afterLines="50" w:after="180"/>
        <w:jc w:val="both"/>
        <w:rPr>
          <w:rFonts w:eastAsia="宋体"/>
          <w:i/>
          <w:iCs/>
          <w:color w:val="000000"/>
        </w:rPr>
      </w:pPr>
      <w:r>
        <w:rPr>
          <w:rFonts w:eastAsia="宋体" w:hint="eastAsia"/>
          <w:b/>
          <w:bCs/>
          <w:i/>
          <w:iCs/>
          <w:color w:val="000000"/>
        </w:rPr>
        <w:t>Proposal 7:</w:t>
      </w:r>
      <w:r>
        <w:rPr>
          <w:rFonts w:eastAsia="宋体" w:hint="eastAsia"/>
          <w:i/>
          <w:iCs/>
          <w:color w:val="000000"/>
        </w:rPr>
        <w:t xml:space="preserve"> Support that non-serving cell PDSCH/PDCCH </w:t>
      </w:r>
      <w:r>
        <w:rPr>
          <w:rFonts w:eastAsia="宋体" w:hint="eastAsia"/>
          <w:i/>
          <w:iCs/>
          <w:color w:val="000000"/>
        </w:rPr>
        <w:t xml:space="preserve">is rate matched around a subset of non-serving cell SSBs </w:t>
      </w:r>
      <w:proofErr w:type="gramStart"/>
      <w:r>
        <w:rPr>
          <w:rFonts w:eastAsia="宋体" w:hint="eastAsia"/>
          <w:i/>
          <w:iCs/>
          <w:color w:val="000000"/>
        </w:rPr>
        <w:t>of  transmitted</w:t>
      </w:r>
      <w:proofErr w:type="gramEnd"/>
      <w:r>
        <w:rPr>
          <w:rFonts w:eastAsia="宋体" w:hint="eastAsia"/>
          <w:i/>
          <w:iCs/>
          <w:color w:val="000000"/>
        </w:rPr>
        <w:t xml:space="preserve"> SSBs configured in </w:t>
      </w:r>
      <w:proofErr w:type="spellStart"/>
      <w:r>
        <w:rPr>
          <w:i/>
          <w:iCs/>
          <w:color w:val="000000"/>
        </w:rPr>
        <w:t>ssb-PositionsInBurst</w:t>
      </w:r>
      <w:proofErr w:type="spellEnd"/>
      <w:r>
        <w:rPr>
          <w:rFonts w:eastAsia="宋体" w:hint="eastAsia"/>
          <w:i/>
          <w:iCs/>
          <w:color w:val="000000"/>
        </w:rPr>
        <w:t xml:space="preserve">. </w:t>
      </w:r>
    </w:p>
    <w:p w:rsidR="008E1462" w:rsidRDefault="00C0295D">
      <w:pPr>
        <w:snapToGrid w:val="0"/>
        <w:spacing w:beforeLines="50" w:before="180" w:afterLines="50" w:after="180"/>
        <w:jc w:val="both"/>
      </w:pPr>
      <w:r>
        <w:rPr>
          <w:rFonts w:eastAsia="宋体" w:hint="eastAsia"/>
          <w:iCs/>
          <w:szCs w:val="20"/>
        </w:rPr>
        <w:t xml:space="preserve">Second, another remaining issue is whether PDSCH/PDCCH and SSB from different cells (serving cell and non-serving cell, respectively) should be processed via rate matching. </w:t>
      </w:r>
      <w:r>
        <w:rPr>
          <w:rFonts w:eastAsia="宋体"/>
          <w:iCs/>
          <w:szCs w:val="20"/>
        </w:rPr>
        <w:t xml:space="preserve">In </w:t>
      </w:r>
      <w:r>
        <w:rPr>
          <w:rFonts w:eastAsia="宋体" w:hint="eastAsia"/>
          <w:iCs/>
          <w:szCs w:val="20"/>
        </w:rPr>
        <w:t>reality</w:t>
      </w:r>
      <w:r>
        <w:rPr>
          <w:rFonts w:eastAsia="宋体"/>
          <w:iCs/>
          <w:szCs w:val="20"/>
        </w:rPr>
        <w:t xml:space="preserve">, </w:t>
      </w:r>
      <w:r>
        <w:t>w</w:t>
      </w:r>
      <w:r>
        <w:rPr>
          <w:rFonts w:hint="eastAsia"/>
        </w:rPr>
        <w:t xml:space="preserve">hen the </w:t>
      </w:r>
      <w:r>
        <w:t xml:space="preserve">NCJT </w:t>
      </w:r>
      <w:r>
        <w:rPr>
          <w:rFonts w:hint="eastAsia"/>
        </w:rPr>
        <w:t xml:space="preserve">UE receives multiple downlink signals </w:t>
      </w:r>
      <w:r>
        <w:rPr>
          <w:rFonts w:eastAsia="宋体" w:hint="eastAsia"/>
        </w:rPr>
        <w:t>from</w:t>
      </w:r>
      <w:r>
        <w:rPr>
          <w:rFonts w:hint="eastAsia"/>
        </w:rPr>
        <w:t xml:space="preserve"> different cell</w:t>
      </w:r>
      <w:r>
        <w:t>s</w:t>
      </w:r>
      <w:r>
        <w:rPr>
          <w:rFonts w:hint="eastAsia"/>
        </w:rPr>
        <w:t xml:space="preserve">, due to the </w:t>
      </w:r>
      <w:r>
        <w:t>serious interference</w:t>
      </w:r>
      <w:r>
        <w:rPr>
          <w:rFonts w:eastAsia="宋体" w:hint="eastAsia"/>
        </w:rPr>
        <w:t xml:space="preserve"> which impact reliability and robustness of inter-cell MTRP transmissions, the resource of SSB should be rate matched around PDSCH/PDCCH from another cell. </w:t>
      </w:r>
      <w:r>
        <w:rPr>
          <w:rFonts w:eastAsia="宋体" w:hint="eastAsia"/>
          <w:iCs/>
          <w:szCs w:val="20"/>
        </w:rPr>
        <w:t>Specifically, once serving cell PDSCH/PDCCH and non-serving servin</w:t>
      </w:r>
      <w:r>
        <w:rPr>
          <w:rFonts w:eastAsia="宋体" w:hint="eastAsia"/>
          <w:iCs/>
          <w:szCs w:val="20"/>
        </w:rPr>
        <w:t xml:space="preserve">g cell SSB, especially </w:t>
      </w:r>
      <w:r>
        <w:rPr>
          <w:rFonts w:eastAsia="宋体"/>
          <w:iCs/>
          <w:szCs w:val="20"/>
        </w:rPr>
        <w:t xml:space="preserve">which is </w:t>
      </w:r>
      <w:r>
        <w:rPr>
          <w:rFonts w:eastAsia="宋体" w:hint="eastAsia"/>
          <w:iCs/>
          <w:szCs w:val="20"/>
        </w:rPr>
        <w:t>included in an activated TCI state</w:t>
      </w:r>
      <w:r>
        <w:rPr>
          <w:rFonts w:eastAsia="宋体"/>
          <w:iCs/>
          <w:szCs w:val="20"/>
        </w:rPr>
        <w:t>,</w:t>
      </w:r>
      <w:r>
        <w:rPr>
          <w:rFonts w:eastAsia="宋体" w:hint="eastAsia"/>
          <w:iCs/>
          <w:szCs w:val="20"/>
        </w:rPr>
        <w:t xml:space="preserve"> are overlapped by part or all of the resources</w:t>
      </w:r>
      <w:r>
        <w:rPr>
          <w:rFonts w:hint="eastAsia"/>
        </w:rPr>
        <w:t>, the PDSCH</w:t>
      </w:r>
      <w:r>
        <w:rPr>
          <w:rFonts w:eastAsia="宋体" w:hint="eastAsia"/>
          <w:iCs/>
          <w:szCs w:val="20"/>
        </w:rPr>
        <w:t>/PDCCH</w:t>
      </w:r>
      <w:r>
        <w:rPr>
          <w:rFonts w:hint="eastAsia"/>
        </w:rPr>
        <w:t xml:space="preserve"> should do rate matching around the SSB</w:t>
      </w:r>
      <w:r>
        <w:rPr>
          <w:rFonts w:eastAsia="宋体" w:hint="eastAsia"/>
        </w:rPr>
        <w:t>,</w:t>
      </w:r>
      <w:r>
        <w:rPr>
          <w:rFonts w:hint="eastAsia"/>
        </w:rPr>
        <w:t xml:space="preserve"> </w:t>
      </w:r>
      <w:r>
        <w:rPr>
          <w:rFonts w:eastAsia="宋体" w:hint="eastAsia"/>
        </w:rPr>
        <w:t xml:space="preserve">and </w:t>
      </w:r>
      <w:r>
        <w:t>vice versa</w:t>
      </w:r>
      <w:r>
        <w:rPr>
          <w:rFonts w:hint="eastAsia"/>
        </w:rPr>
        <w:t xml:space="preserve">. </w:t>
      </w:r>
      <w:r>
        <w:rPr>
          <w:rFonts w:eastAsia="宋体" w:hint="eastAsia"/>
        </w:rPr>
        <w:t>In addition, h</w:t>
      </w:r>
      <w:r>
        <w:rPr>
          <w:rFonts w:hint="eastAsia"/>
        </w:rPr>
        <w:t xml:space="preserve">ow to indicate </w:t>
      </w:r>
      <w:r>
        <w:t>this rate matching information for</w:t>
      </w:r>
      <w:r>
        <w:rPr>
          <w:rFonts w:eastAsia="宋体" w:hint="eastAsia"/>
        </w:rPr>
        <w:t xml:space="preserve"> </w:t>
      </w:r>
      <w:r>
        <w:rPr>
          <w:rFonts w:hint="eastAsia"/>
        </w:rPr>
        <w:t>PDSC</w:t>
      </w:r>
      <w:r>
        <w:rPr>
          <w:rFonts w:hint="eastAsia"/>
        </w:rPr>
        <w:t xml:space="preserve">H/PDCCH </w:t>
      </w:r>
      <w:r>
        <w:rPr>
          <w:rFonts w:eastAsia="宋体" w:hint="eastAsia"/>
        </w:rPr>
        <w:t xml:space="preserve">associated with </w:t>
      </w:r>
      <w:r>
        <w:rPr>
          <w:rFonts w:hint="eastAsia"/>
        </w:rPr>
        <w:t>serving cell</w:t>
      </w:r>
      <w:r>
        <w:rPr>
          <w:rFonts w:eastAsia="宋体" w:hint="eastAsia"/>
        </w:rPr>
        <w:t xml:space="preserve"> PCI</w:t>
      </w:r>
      <w:r>
        <w:rPr>
          <w:rFonts w:hint="eastAsia"/>
        </w:rPr>
        <w:t xml:space="preserve"> or non-serving cell</w:t>
      </w:r>
      <w:r>
        <w:rPr>
          <w:rFonts w:eastAsia="宋体" w:hint="eastAsia"/>
        </w:rPr>
        <w:t xml:space="preserve"> PCI</w:t>
      </w:r>
      <w:r>
        <w:rPr>
          <w:rFonts w:hint="eastAsia"/>
        </w:rPr>
        <w:t xml:space="preserve"> can be </w:t>
      </w:r>
      <w:r>
        <w:t>further studied</w:t>
      </w:r>
      <w:r>
        <w:rPr>
          <w:rFonts w:hint="eastAsia"/>
        </w:rPr>
        <w:t>.</w:t>
      </w:r>
    </w:p>
    <w:p w:rsidR="008E1462" w:rsidRDefault="00C0295D">
      <w:pPr>
        <w:pStyle w:val="a7"/>
        <w:snapToGrid w:val="0"/>
        <w:spacing w:beforeLines="50" w:before="180" w:afterLines="50" w:after="180"/>
        <w:rPr>
          <w:rFonts w:eastAsia="宋体"/>
          <w:i/>
          <w:iCs/>
          <w:color w:val="auto"/>
          <w:kern w:val="0"/>
          <w:sz w:val="20"/>
        </w:rPr>
      </w:pPr>
      <w:r>
        <w:rPr>
          <w:rStyle w:val="normaltextrun"/>
          <w:rFonts w:eastAsiaTheme="minorEastAsia" w:hint="eastAsia"/>
          <w:b/>
          <w:i/>
          <w:iCs/>
          <w:sz w:val="20"/>
        </w:rPr>
        <w:t>Proposal 8:</w:t>
      </w:r>
      <w:r>
        <w:rPr>
          <w:rStyle w:val="normaltextrun"/>
          <w:rFonts w:eastAsiaTheme="minorEastAsia" w:hint="eastAsia"/>
          <w:bCs/>
          <w:i/>
          <w:iCs/>
          <w:sz w:val="20"/>
        </w:rPr>
        <w:t xml:space="preserve"> </w:t>
      </w:r>
      <w:r>
        <w:rPr>
          <w:rFonts w:eastAsia="宋体" w:hint="eastAsia"/>
          <w:i/>
          <w:iCs/>
          <w:color w:val="auto"/>
          <w:kern w:val="0"/>
          <w:sz w:val="20"/>
        </w:rPr>
        <w:t>PDSCH /PDCCH associated with serving cell PCI should be rate matched around non-serving cell SSB, and PDSCH/PDCCH associated with non-serving cell PCI shou</w:t>
      </w:r>
      <w:r>
        <w:rPr>
          <w:rFonts w:eastAsia="宋体" w:hint="eastAsia"/>
          <w:i/>
          <w:iCs/>
          <w:color w:val="auto"/>
          <w:kern w:val="0"/>
          <w:sz w:val="20"/>
        </w:rPr>
        <w:t>ld be rate matched around serving cell SSB as well.</w:t>
      </w:r>
    </w:p>
    <w:p w:rsidR="008E1462" w:rsidRDefault="00C0295D">
      <w:pPr>
        <w:pStyle w:val="a7"/>
        <w:snapToGrid w:val="0"/>
        <w:spacing w:beforeLines="50" w:before="180" w:afterLines="50" w:after="180"/>
        <w:rPr>
          <w:rFonts w:eastAsia="宋体"/>
          <w:color w:val="auto"/>
          <w:kern w:val="0"/>
          <w:sz w:val="20"/>
        </w:rPr>
      </w:pPr>
      <w:r>
        <w:rPr>
          <w:rFonts w:eastAsia="宋体" w:hint="eastAsia"/>
          <w:color w:val="auto"/>
          <w:kern w:val="0"/>
          <w:sz w:val="20"/>
        </w:rPr>
        <w:t>In the case of TDD operation in Rel-15/16 NR, a single carrier frequency for uplink and downlink channels/signals are separated in the time domain on a cell basis. Due to the UE cannot transmit and receiv</w:t>
      </w:r>
      <w:r>
        <w:rPr>
          <w:rFonts w:eastAsia="宋体" w:hint="eastAsia"/>
          <w:color w:val="auto"/>
          <w:kern w:val="0"/>
          <w:sz w:val="20"/>
        </w:rPr>
        <w:t xml:space="preserve">e simultaneously, some signaling mechanisms provide information to the UE on whether the resources are used for uplink transmission or downlink reception, such as: </w:t>
      </w:r>
      <w:proofErr w:type="spellStart"/>
      <w:r>
        <w:rPr>
          <w:rFonts w:eastAsia="宋体" w:hint="eastAsia"/>
          <w:color w:val="auto"/>
          <w:kern w:val="0"/>
          <w:sz w:val="20"/>
        </w:rPr>
        <w:t>i</w:t>
      </w:r>
      <w:proofErr w:type="spellEnd"/>
      <w:r>
        <w:rPr>
          <w:rFonts w:eastAsia="宋体" w:hint="eastAsia"/>
          <w:color w:val="auto"/>
          <w:kern w:val="0"/>
          <w:sz w:val="20"/>
        </w:rPr>
        <w:t>) Dynamic signaling for the scheduled transmission; ii) Semi-static signaling via RRC; iii)</w:t>
      </w:r>
      <w:r>
        <w:rPr>
          <w:rFonts w:eastAsia="宋体" w:hint="eastAsia"/>
          <w:color w:val="auto"/>
          <w:kern w:val="0"/>
          <w:sz w:val="20"/>
        </w:rPr>
        <w:t xml:space="preserve"> Dynamic SFI shared by a group of UEs.</w:t>
      </w:r>
    </w:p>
    <w:p w:rsidR="008E1462" w:rsidRDefault="00C0295D">
      <w:pPr>
        <w:pStyle w:val="a7"/>
        <w:snapToGrid w:val="0"/>
        <w:spacing w:beforeLines="50" w:before="180" w:afterLines="50" w:after="180"/>
        <w:rPr>
          <w:rFonts w:eastAsia="宋体"/>
          <w:color w:val="auto"/>
          <w:kern w:val="0"/>
          <w:sz w:val="20"/>
        </w:rPr>
      </w:pPr>
      <w:r>
        <w:rPr>
          <w:rFonts w:eastAsia="宋体" w:hint="eastAsia"/>
          <w:color w:val="auto"/>
          <w:kern w:val="0"/>
          <w:sz w:val="20"/>
        </w:rPr>
        <w:t>With respect to inter-cell MTRP operation, it has been agreed to adopt non-serving cell SSB as source RS so far. Correspondingly, the rules on collision handling between UL channels/signals and non-serving cell SSB should be designed as in Rel-15/16, which</w:t>
      </w:r>
      <w:r>
        <w:rPr>
          <w:rFonts w:eastAsia="宋体" w:hint="eastAsia"/>
          <w:color w:val="auto"/>
          <w:kern w:val="0"/>
          <w:sz w:val="20"/>
        </w:rPr>
        <w:t xml:space="preserve"> include: </w:t>
      </w:r>
      <w:proofErr w:type="spellStart"/>
      <w:r>
        <w:rPr>
          <w:rFonts w:eastAsia="宋体" w:hint="eastAsia"/>
          <w:color w:val="auto"/>
          <w:kern w:val="0"/>
          <w:sz w:val="20"/>
        </w:rPr>
        <w:t>i</w:t>
      </w:r>
      <w:proofErr w:type="spellEnd"/>
      <w:r>
        <w:rPr>
          <w:rFonts w:eastAsia="宋体" w:hint="eastAsia"/>
          <w:color w:val="auto"/>
          <w:kern w:val="0"/>
          <w:sz w:val="20"/>
        </w:rPr>
        <w:t>) UL channels/signals which overlap with non-serving cell SSB fully or partially should not be transmitted; ii) The symbols for SSB cannot be set as UL channels/RSs symbols; iii) The symbols for SSB are set as invalid and not counted for PUSCH r</w:t>
      </w:r>
      <w:r>
        <w:rPr>
          <w:rFonts w:eastAsia="宋体" w:hint="eastAsia"/>
          <w:color w:val="auto"/>
          <w:kern w:val="0"/>
          <w:sz w:val="20"/>
        </w:rPr>
        <w:t xml:space="preserve">epetition Type B transmission. Similar as the consideration of rate matching that to avoid </w:t>
      </w:r>
      <w:r>
        <w:t>interference</w:t>
      </w:r>
      <w:r>
        <w:rPr>
          <w:rFonts w:eastAsia="宋体" w:hint="eastAsia"/>
          <w:color w:val="auto"/>
          <w:kern w:val="0"/>
          <w:sz w:val="20"/>
        </w:rPr>
        <w:t>, the above three rules should be guaranteed and enforced.</w:t>
      </w:r>
    </w:p>
    <w:p w:rsidR="008E1462" w:rsidRDefault="00C0295D">
      <w:pPr>
        <w:pStyle w:val="a7"/>
        <w:snapToGrid w:val="0"/>
        <w:spacing w:beforeLines="50" w:before="180" w:afterLines="50" w:after="180"/>
        <w:rPr>
          <w:rFonts w:eastAsia="宋体"/>
          <w:i/>
          <w:iCs/>
          <w:color w:val="auto"/>
          <w:kern w:val="0"/>
          <w:sz w:val="20"/>
        </w:rPr>
      </w:pPr>
      <w:r>
        <w:rPr>
          <w:rFonts w:eastAsia="宋体" w:hint="eastAsia"/>
          <w:b/>
          <w:bCs/>
          <w:i/>
          <w:iCs/>
          <w:color w:val="auto"/>
          <w:kern w:val="0"/>
          <w:sz w:val="20"/>
        </w:rPr>
        <w:t>Proposal 9:</w:t>
      </w:r>
      <w:r>
        <w:rPr>
          <w:rFonts w:eastAsia="宋体" w:hint="eastAsia"/>
          <w:i/>
          <w:iCs/>
          <w:color w:val="auto"/>
          <w:kern w:val="0"/>
          <w:sz w:val="20"/>
        </w:rPr>
        <w:t xml:space="preserve"> Any UL channels/signals (no matter associated with serving cell PCI or non-serving</w:t>
      </w:r>
      <w:r>
        <w:rPr>
          <w:rFonts w:eastAsia="宋体" w:hint="eastAsia"/>
          <w:i/>
          <w:iCs/>
          <w:color w:val="auto"/>
          <w:kern w:val="0"/>
          <w:sz w:val="20"/>
        </w:rPr>
        <w:t xml:space="preserve"> cell PCI) should NOT be transmitted in the symbols of non-serving cell SSB.</w:t>
      </w:r>
    </w:p>
    <w:p w:rsidR="008E1462" w:rsidRDefault="00C0295D">
      <w:pPr>
        <w:pStyle w:val="1"/>
        <w:tabs>
          <w:tab w:val="clear" w:pos="432"/>
        </w:tabs>
        <w:snapToGrid w:val="0"/>
        <w:spacing w:beforeLines="50" w:before="180" w:beforeAutospacing="0" w:afterLines="50" w:after="180" w:afterAutospacing="0" w:line="240" w:lineRule="auto"/>
        <w:ind w:left="431" w:hanging="431"/>
        <w:jc w:val="both"/>
        <w:rPr>
          <w:rFonts w:ascii="Arial" w:hAnsi="Arial"/>
          <w:sz w:val="28"/>
          <w:lang w:val="en-US"/>
        </w:rPr>
      </w:pPr>
      <w:r>
        <w:rPr>
          <w:rFonts w:ascii="Arial" w:hAnsi="Arial"/>
          <w:sz w:val="28"/>
          <w:lang w:val="en-US"/>
        </w:rPr>
        <w:t>Conclusions</w:t>
      </w:r>
    </w:p>
    <w:p w:rsidR="008E1462" w:rsidRDefault="00C0295D">
      <w:pPr>
        <w:snapToGrid w:val="0"/>
        <w:spacing w:beforeLines="50" w:before="180" w:afterLines="50" w:after="180"/>
        <w:jc w:val="both"/>
        <w:rPr>
          <w:rFonts w:eastAsia="微软雅黑"/>
          <w:szCs w:val="20"/>
        </w:rPr>
      </w:pPr>
      <w:r>
        <w:rPr>
          <w:rFonts w:eastAsia="微软雅黑" w:hint="eastAsia"/>
          <w:szCs w:val="20"/>
        </w:rPr>
        <w:t xml:space="preserve">Based on </w:t>
      </w:r>
      <w:r>
        <w:rPr>
          <w:rFonts w:eastAsia="微软雅黑"/>
          <w:szCs w:val="20"/>
        </w:rPr>
        <w:t xml:space="preserve">the </w:t>
      </w:r>
      <w:r>
        <w:rPr>
          <w:rFonts w:eastAsia="微软雅黑" w:hint="eastAsia"/>
          <w:szCs w:val="20"/>
        </w:rPr>
        <w:t xml:space="preserve">above discussion, we have following observations and </w:t>
      </w:r>
      <w:r>
        <w:rPr>
          <w:rFonts w:eastAsia="微软雅黑"/>
          <w:szCs w:val="20"/>
        </w:rPr>
        <w:t>proposals.</w:t>
      </w:r>
    </w:p>
    <w:p w:rsidR="008E1462" w:rsidRDefault="00C0295D">
      <w:pPr>
        <w:snapToGrid w:val="0"/>
        <w:spacing w:beforeLines="50" w:before="180" w:afterLines="50" w:after="180"/>
        <w:jc w:val="both"/>
        <w:rPr>
          <w:rFonts w:eastAsia="宋体"/>
          <w:b/>
          <w:bCs/>
          <w:i/>
          <w:iCs/>
        </w:rPr>
      </w:pPr>
      <w:r>
        <w:rPr>
          <w:rFonts w:eastAsia="宋体" w:hint="eastAsia"/>
          <w:b/>
          <w:bCs/>
          <w:i/>
          <w:iCs/>
        </w:rPr>
        <w:t xml:space="preserve">Observation 1: </w:t>
      </w:r>
      <w:r>
        <w:rPr>
          <w:rFonts w:eastAsiaTheme="minorEastAsia" w:hint="eastAsia"/>
          <w:i/>
          <w:iCs/>
          <w:szCs w:val="20"/>
        </w:rPr>
        <w:t xml:space="preserve">Non-serving cell SSB used as QCL source RS for inter-cell MTRP operation </w:t>
      </w:r>
      <w:r>
        <w:rPr>
          <w:rFonts w:eastAsiaTheme="minorEastAsia" w:hint="eastAsia"/>
          <w:i/>
          <w:iCs/>
          <w:szCs w:val="20"/>
        </w:rPr>
        <w:t>should be one of SSBs which aims to mobility measurement.</w:t>
      </w:r>
    </w:p>
    <w:p w:rsidR="008E1462" w:rsidRDefault="00C0295D">
      <w:pPr>
        <w:snapToGrid w:val="0"/>
        <w:spacing w:beforeLines="50" w:before="180" w:afterLines="50" w:after="180"/>
        <w:jc w:val="both"/>
        <w:rPr>
          <w:i/>
          <w:iCs/>
        </w:rPr>
      </w:pPr>
      <w:r>
        <w:rPr>
          <w:rFonts w:hint="eastAsia"/>
          <w:b/>
          <w:bCs/>
          <w:i/>
          <w:iCs/>
        </w:rPr>
        <w:t xml:space="preserve">Proposal 1: </w:t>
      </w:r>
      <w:r>
        <w:rPr>
          <w:rFonts w:hint="eastAsia"/>
          <w:i/>
          <w:iCs/>
        </w:rPr>
        <w:t>Other non-serving cell SSB information</w:t>
      </w:r>
      <w:r>
        <w:rPr>
          <w:rFonts w:eastAsia="宋体" w:hint="eastAsia"/>
          <w:i/>
          <w:iCs/>
        </w:rPr>
        <w:t xml:space="preserve"> provided to UE should also</w:t>
      </w:r>
      <w:r>
        <w:rPr>
          <w:rFonts w:hint="eastAsia"/>
          <w:i/>
          <w:iCs/>
        </w:rPr>
        <w:t xml:space="preserve"> </w:t>
      </w:r>
      <w:r>
        <w:rPr>
          <w:i/>
          <w:iCs/>
        </w:rPr>
        <w:t>includ</w:t>
      </w:r>
      <w:r>
        <w:rPr>
          <w:rFonts w:eastAsia="宋体" w:hint="eastAsia"/>
          <w:i/>
          <w:iCs/>
        </w:rPr>
        <w:t>e</w:t>
      </w:r>
      <w:r>
        <w:rPr>
          <w:rFonts w:hint="eastAsia"/>
          <w:i/>
          <w:iCs/>
        </w:rPr>
        <w:t xml:space="preserve"> center frequency, SCS, and SFN offset</w:t>
      </w:r>
      <w:r>
        <w:rPr>
          <w:rFonts w:eastAsia="宋体" w:hint="eastAsia"/>
          <w:i/>
          <w:iCs/>
        </w:rPr>
        <w:t>, especially when inter-frequency operation</w:t>
      </w:r>
      <w:r>
        <w:rPr>
          <w:rFonts w:hint="eastAsia"/>
          <w:i/>
          <w:iCs/>
        </w:rPr>
        <w:t>.</w:t>
      </w:r>
    </w:p>
    <w:p w:rsidR="008E1462" w:rsidRDefault="00C0295D">
      <w:pPr>
        <w:snapToGrid w:val="0"/>
        <w:spacing w:beforeLines="50" w:before="180"/>
        <w:jc w:val="both"/>
        <w:rPr>
          <w:i/>
          <w:iCs/>
        </w:rPr>
      </w:pPr>
      <w:r>
        <w:rPr>
          <w:rFonts w:hint="eastAsia"/>
          <w:b/>
          <w:bCs/>
          <w:i/>
          <w:iCs/>
        </w:rPr>
        <w:t xml:space="preserve">Proposal </w:t>
      </w:r>
      <w:r>
        <w:rPr>
          <w:rFonts w:eastAsia="宋体" w:hint="eastAsia"/>
          <w:b/>
          <w:bCs/>
          <w:i/>
          <w:iCs/>
        </w:rPr>
        <w:t>2</w:t>
      </w:r>
      <w:r>
        <w:rPr>
          <w:rFonts w:hint="eastAsia"/>
          <w:b/>
          <w:bCs/>
          <w:i/>
          <w:iCs/>
        </w:rPr>
        <w:t>:</w:t>
      </w:r>
      <w:r>
        <w:rPr>
          <w:rFonts w:hint="eastAsia"/>
          <w:i/>
          <w:iCs/>
        </w:rPr>
        <w:t xml:space="preserve"> Support to introduce a new RRC IE </w:t>
      </w:r>
      <w:r>
        <w:rPr>
          <w:rFonts w:eastAsia="宋体" w:hint="eastAsia"/>
          <w:i/>
          <w:iCs/>
        </w:rPr>
        <w:t xml:space="preserve">to </w:t>
      </w:r>
      <w:r>
        <w:rPr>
          <w:rFonts w:hint="eastAsia"/>
          <w:i/>
          <w:iCs/>
        </w:rPr>
        <w:t>link TCI states</w:t>
      </w:r>
      <w:r>
        <w:rPr>
          <w:rFonts w:eastAsia="宋体" w:hint="eastAsia"/>
          <w:i/>
          <w:iCs/>
        </w:rPr>
        <w:t xml:space="preserve"> with non-serving cell SSB information</w:t>
      </w:r>
      <w:r>
        <w:rPr>
          <w:rFonts w:hint="eastAsia"/>
          <w:i/>
          <w:iCs/>
        </w:rPr>
        <w:t>.</w:t>
      </w:r>
    </w:p>
    <w:p w:rsidR="008E1462" w:rsidRDefault="00C0295D">
      <w:pPr>
        <w:pStyle w:val="af8"/>
        <w:numPr>
          <w:ilvl w:val="0"/>
          <w:numId w:val="6"/>
        </w:numPr>
        <w:snapToGrid w:val="0"/>
        <w:ind w:leftChars="0" w:hanging="363"/>
        <w:jc w:val="both"/>
        <w:rPr>
          <w:rFonts w:cs="Times"/>
          <w:i/>
          <w:iCs/>
        </w:rPr>
      </w:pPr>
      <w:r>
        <w:rPr>
          <w:rFonts w:cs="Times" w:hint="eastAsia"/>
          <w:i/>
          <w:iCs/>
        </w:rPr>
        <w:t xml:space="preserve">At least </w:t>
      </w:r>
      <w:proofErr w:type="spellStart"/>
      <w:r>
        <w:rPr>
          <w:rFonts w:cs="Times"/>
          <w:i/>
          <w:iCs/>
        </w:rPr>
        <w:t>MeasObjectId</w:t>
      </w:r>
      <w:proofErr w:type="spellEnd"/>
      <w:r>
        <w:rPr>
          <w:rFonts w:cs="Times" w:hint="eastAsia"/>
          <w:i/>
          <w:iCs/>
        </w:rPr>
        <w:t xml:space="preserve"> and PCI </w:t>
      </w:r>
      <w:r>
        <w:rPr>
          <w:rFonts w:eastAsia="宋体" w:cs="Times" w:hint="eastAsia"/>
          <w:i/>
          <w:iCs/>
        </w:rPr>
        <w:t xml:space="preserve">of the non-serving cell SSB </w:t>
      </w:r>
      <w:r>
        <w:rPr>
          <w:rFonts w:cs="Times" w:hint="eastAsia"/>
          <w:i/>
          <w:iCs/>
        </w:rPr>
        <w:t xml:space="preserve">should be </w:t>
      </w:r>
      <w:r>
        <w:rPr>
          <w:rFonts w:eastAsia="宋体" w:cs="Times" w:hint="eastAsia"/>
          <w:i/>
          <w:iCs/>
        </w:rPr>
        <w:t xml:space="preserve">included </w:t>
      </w:r>
      <w:r>
        <w:rPr>
          <w:rFonts w:cs="Times" w:hint="eastAsia"/>
          <w:i/>
          <w:iCs/>
        </w:rPr>
        <w:t>in the new IE.</w:t>
      </w:r>
    </w:p>
    <w:p w:rsidR="008E1462" w:rsidRDefault="00C0295D">
      <w:pPr>
        <w:snapToGrid w:val="0"/>
        <w:spacing w:beforeLines="50" w:before="180"/>
        <w:jc w:val="both"/>
        <w:rPr>
          <w:rFonts w:eastAsia="宋体"/>
          <w:i/>
          <w:iCs/>
          <w:szCs w:val="20"/>
        </w:rPr>
      </w:pPr>
      <w:r>
        <w:rPr>
          <w:rFonts w:eastAsia="宋体" w:hint="eastAsia"/>
          <w:b/>
          <w:bCs/>
          <w:i/>
          <w:iCs/>
          <w:szCs w:val="20"/>
        </w:rPr>
        <w:lastRenderedPageBreak/>
        <w:t>Proposal 3:</w:t>
      </w:r>
      <w:r>
        <w:rPr>
          <w:rFonts w:eastAsia="宋体" w:hint="eastAsia"/>
          <w:i/>
          <w:iCs/>
          <w:szCs w:val="20"/>
        </w:rPr>
        <w:t xml:space="preserve"> For inter-cell MTRP operation, </w:t>
      </w:r>
      <w:r>
        <w:rPr>
          <w:rFonts w:eastAsia="宋体"/>
          <w:i/>
          <w:iCs/>
          <w:szCs w:val="20"/>
        </w:rPr>
        <w:t xml:space="preserve">one PCI associated with one </w:t>
      </w:r>
      <w:r>
        <w:rPr>
          <w:rFonts w:eastAsia="宋体"/>
          <w:i/>
          <w:iCs/>
          <w:szCs w:val="20"/>
        </w:rPr>
        <w:t xml:space="preserve">or more of activated TCI states for [PDSCH]/PDCCH can be associated with only one </w:t>
      </w:r>
      <w:proofErr w:type="spellStart"/>
      <w:r>
        <w:rPr>
          <w:rFonts w:eastAsia="宋体"/>
          <w:i/>
          <w:iCs/>
          <w:szCs w:val="20"/>
        </w:rPr>
        <w:t>CORESETPoolIndex</w:t>
      </w:r>
      <w:proofErr w:type="spellEnd"/>
      <w:r>
        <w:rPr>
          <w:rFonts w:eastAsia="宋体" w:hint="eastAsia"/>
          <w:i/>
          <w:iCs/>
          <w:szCs w:val="20"/>
        </w:rPr>
        <w:t>.</w:t>
      </w:r>
      <w:r>
        <w:rPr>
          <w:rFonts w:eastAsia="宋体" w:hint="eastAsia"/>
          <w:b/>
          <w:bCs/>
          <w:i/>
          <w:iCs/>
          <w:szCs w:val="20"/>
        </w:rPr>
        <w:t xml:space="preserve"> </w:t>
      </w:r>
      <w:r>
        <w:rPr>
          <w:rFonts w:eastAsia="宋体" w:hint="eastAsia"/>
          <w:i/>
          <w:iCs/>
          <w:color w:val="000000" w:themeColor="text1"/>
          <w:szCs w:val="20"/>
        </w:rPr>
        <w:t>(Alt. 1)</w:t>
      </w:r>
    </w:p>
    <w:p w:rsidR="008E1462" w:rsidRDefault="00C0295D">
      <w:pPr>
        <w:snapToGrid w:val="0"/>
        <w:spacing w:beforeLines="50" w:before="180"/>
        <w:jc w:val="both"/>
        <w:rPr>
          <w:rFonts w:eastAsia="宋体"/>
          <w:i/>
          <w:iCs/>
          <w:szCs w:val="20"/>
        </w:rPr>
      </w:pPr>
      <w:r>
        <w:rPr>
          <w:rFonts w:eastAsia="宋体" w:hint="eastAsia"/>
          <w:b/>
          <w:bCs/>
          <w:i/>
          <w:iCs/>
          <w:szCs w:val="20"/>
        </w:rPr>
        <w:t xml:space="preserve">Proposal 4: </w:t>
      </w:r>
      <w:r>
        <w:rPr>
          <w:rFonts w:eastAsia="宋体" w:hint="eastAsia"/>
          <w:i/>
          <w:iCs/>
          <w:szCs w:val="20"/>
        </w:rPr>
        <w:t>For the configuration of associating TCI state/ QCL-info with non-serving cell SSB information, support that all TCI states should be s</w:t>
      </w:r>
      <w:r>
        <w:rPr>
          <w:rFonts w:eastAsia="宋体" w:hint="eastAsia"/>
          <w:i/>
          <w:iCs/>
          <w:szCs w:val="20"/>
        </w:rPr>
        <w:t xml:space="preserve">plit into two groups which corresponding to serving cell and non-serving cell, respectively. </w:t>
      </w:r>
      <w:r>
        <w:rPr>
          <w:rFonts w:eastAsia="宋体" w:hint="eastAsia"/>
          <w:i/>
          <w:iCs/>
          <w:color w:val="000000" w:themeColor="text1"/>
          <w:szCs w:val="20"/>
        </w:rPr>
        <w:t>(Option 3)</w:t>
      </w:r>
    </w:p>
    <w:p w:rsidR="008E1462" w:rsidRDefault="00C0295D">
      <w:pPr>
        <w:pStyle w:val="af8"/>
        <w:numPr>
          <w:ilvl w:val="0"/>
          <w:numId w:val="6"/>
        </w:numPr>
        <w:snapToGrid w:val="0"/>
        <w:spacing w:afterLines="50" w:after="180"/>
        <w:ind w:leftChars="0" w:hanging="363"/>
        <w:jc w:val="both"/>
        <w:rPr>
          <w:rFonts w:cs="Times"/>
          <w:i/>
          <w:iCs/>
        </w:rPr>
      </w:pPr>
      <w:r>
        <w:rPr>
          <w:rFonts w:cs="Times" w:hint="eastAsia"/>
          <w:i/>
          <w:iCs/>
        </w:rPr>
        <w:t xml:space="preserve">Each group of TCI states is associated with a </w:t>
      </w:r>
      <w:proofErr w:type="spellStart"/>
      <w:r>
        <w:rPr>
          <w:rFonts w:cs="Times" w:hint="eastAsia"/>
          <w:i/>
          <w:iCs/>
        </w:rPr>
        <w:t>CORESETPoolIndex</w:t>
      </w:r>
      <w:proofErr w:type="spellEnd"/>
      <w:r>
        <w:rPr>
          <w:rFonts w:cs="Times" w:hint="eastAsia"/>
          <w:i/>
          <w:iCs/>
        </w:rPr>
        <w:t xml:space="preserve"> value.</w:t>
      </w:r>
    </w:p>
    <w:p w:rsidR="008E1462" w:rsidRDefault="00C0295D">
      <w:pPr>
        <w:snapToGrid w:val="0"/>
        <w:spacing w:beforeLines="50" w:before="180" w:afterLines="50" w:after="180"/>
        <w:jc w:val="both"/>
        <w:rPr>
          <w:rFonts w:eastAsia="宋体"/>
          <w:i/>
          <w:iCs/>
        </w:rPr>
      </w:pPr>
      <w:r>
        <w:rPr>
          <w:rFonts w:eastAsia="宋体" w:hint="eastAsia"/>
          <w:b/>
          <w:bCs/>
          <w:i/>
          <w:iCs/>
        </w:rPr>
        <w:t>Proposal 5:</w:t>
      </w:r>
      <w:r>
        <w:rPr>
          <w:rFonts w:eastAsia="宋体" w:hint="eastAsia"/>
          <w:i/>
          <w:iCs/>
        </w:rPr>
        <w:t xml:space="preserve"> Support to use non-serving cell SSB for mobility measurement as the PL</w:t>
      </w:r>
      <w:r>
        <w:rPr>
          <w:rFonts w:eastAsia="宋体" w:hint="eastAsia"/>
          <w:i/>
          <w:iCs/>
        </w:rPr>
        <w:t>-RS for uplink transmission.</w:t>
      </w:r>
    </w:p>
    <w:p w:rsidR="008E1462" w:rsidRDefault="00C0295D">
      <w:pPr>
        <w:pStyle w:val="a7"/>
        <w:snapToGrid w:val="0"/>
        <w:spacing w:beforeLines="50" w:before="180" w:afterLines="50" w:after="180"/>
        <w:rPr>
          <w:rStyle w:val="normaltextrun"/>
          <w:rFonts w:eastAsia="宋体"/>
          <w:bCs/>
          <w:i/>
          <w:iCs/>
          <w:sz w:val="20"/>
        </w:rPr>
      </w:pPr>
      <w:r>
        <w:rPr>
          <w:rStyle w:val="normaltextrun"/>
          <w:rFonts w:eastAsiaTheme="minorEastAsia" w:hint="eastAsia"/>
          <w:b/>
          <w:i/>
          <w:iCs/>
          <w:sz w:val="20"/>
        </w:rPr>
        <w:t>Proposal 6:</w:t>
      </w:r>
      <w:r>
        <w:rPr>
          <w:rStyle w:val="normaltextrun"/>
          <w:rFonts w:eastAsiaTheme="minorEastAsia" w:hint="eastAsia"/>
          <w:bCs/>
          <w:i/>
          <w:iCs/>
          <w:sz w:val="20"/>
        </w:rPr>
        <w:t xml:space="preserve"> </w:t>
      </w:r>
      <w:r>
        <w:rPr>
          <w:rStyle w:val="normaltextrun"/>
          <w:rFonts w:eastAsia="宋体" w:hint="eastAsia"/>
          <w:bCs/>
          <w:i/>
          <w:iCs/>
          <w:sz w:val="20"/>
        </w:rPr>
        <w:t>S</w:t>
      </w:r>
      <w:r>
        <w:rPr>
          <w:rStyle w:val="normaltextrun"/>
          <w:rFonts w:eastAsia="宋体"/>
          <w:bCs/>
          <w:i/>
          <w:iCs/>
          <w:sz w:val="20"/>
        </w:rPr>
        <w:t xml:space="preserve">equence generation of </w:t>
      </w:r>
      <w:r>
        <w:rPr>
          <w:rStyle w:val="normaltextrun"/>
          <w:rFonts w:eastAsia="宋体" w:hint="eastAsia"/>
          <w:bCs/>
          <w:i/>
          <w:iCs/>
          <w:sz w:val="20"/>
        </w:rPr>
        <w:t xml:space="preserve">a </w:t>
      </w:r>
      <w:r>
        <w:rPr>
          <w:rFonts w:eastAsia="宋体" w:hint="eastAsia"/>
          <w:i/>
          <w:iCs/>
          <w:sz w:val="20"/>
        </w:rPr>
        <w:t xml:space="preserve">non-serving </w:t>
      </w:r>
      <w:r>
        <w:rPr>
          <w:rStyle w:val="normaltextrun"/>
          <w:rFonts w:eastAsia="宋体" w:hint="eastAsia"/>
          <w:bCs/>
          <w:i/>
          <w:iCs/>
          <w:sz w:val="20"/>
        </w:rPr>
        <w:t>cell</w:t>
      </w:r>
      <w:r>
        <w:rPr>
          <w:rStyle w:val="normaltextrun"/>
          <w:rFonts w:eastAsia="宋体"/>
          <w:bCs/>
          <w:i/>
          <w:iCs/>
          <w:sz w:val="20"/>
        </w:rPr>
        <w:t xml:space="preserve"> TRS</w:t>
      </w:r>
      <w:r>
        <w:rPr>
          <w:rStyle w:val="normaltextrun"/>
          <w:rFonts w:eastAsia="宋体" w:hint="eastAsia"/>
          <w:bCs/>
          <w:i/>
          <w:iCs/>
          <w:sz w:val="20"/>
        </w:rPr>
        <w:t xml:space="preserve"> used as TCI source should be </w:t>
      </w:r>
      <w:r>
        <w:rPr>
          <w:rStyle w:val="normaltextrun"/>
          <w:rFonts w:eastAsia="宋体"/>
          <w:bCs/>
          <w:i/>
          <w:iCs/>
          <w:sz w:val="20"/>
        </w:rPr>
        <w:t xml:space="preserve">based on slot index of </w:t>
      </w:r>
      <w:r>
        <w:rPr>
          <w:rStyle w:val="normaltextrun"/>
          <w:rFonts w:eastAsia="宋体" w:hint="eastAsia"/>
          <w:bCs/>
          <w:i/>
          <w:iCs/>
          <w:sz w:val="20"/>
        </w:rPr>
        <w:t xml:space="preserve">this </w:t>
      </w:r>
      <w:r>
        <w:rPr>
          <w:rFonts w:eastAsia="宋体" w:hint="eastAsia"/>
          <w:i/>
          <w:iCs/>
          <w:sz w:val="20"/>
        </w:rPr>
        <w:t xml:space="preserve">non-serving </w:t>
      </w:r>
      <w:r>
        <w:rPr>
          <w:rStyle w:val="normaltextrun"/>
          <w:rFonts w:eastAsia="宋体"/>
          <w:bCs/>
          <w:i/>
          <w:iCs/>
          <w:sz w:val="20"/>
        </w:rPr>
        <w:t>cell.</w:t>
      </w:r>
    </w:p>
    <w:p w:rsidR="008E1462" w:rsidRDefault="00C0295D">
      <w:pPr>
        <w:snapToGrid w:val="0"/>
        <w:spacing w:beforeLines="50" w:before="180" w:afterLines="50" w:after="180"/>
        <w:jc w:val="both"/>
        <w:rPr>
          <w:rFonts w:eastAsia="宋体"/>
          <w:i/>
          <w:iCs/>
          <w:color w:val="000000"/>
        </w:rPr>
      </w:pPr>
      <w:r>
        <w:rPr>
          <w:rFonts w:eastAsia="宋体" w:hint="eastAsia"/>
          <w:b/>
          <w:bCs/>
          <w:i/>
          <w:iCs/>
          <w:color w:val="000000"/>
        </w:rPr>
        <w:t>Proposal 7:</w:t>
      </w:r>
      <w:r>
        <w:rPr>
          <w:rFonts w:eastAsia="宋体" w:hint="eastAsia"/>
          <w:i/>
          <w:iCs/>
          <w:color w:val="000000"/>
        </w:rPr>
        <w:t xml:space="preserve"> Support that non-serving cell PDSCH/PDCCH is rate matched around a subset of non-serving cell SSBs </w:t>
      </w:r>
      <w:proofErr w:type="gramStart"/>
      <w:r>
        <w:rPr>
          <w:rFonts w:eastAsia="宋体" w:hint="eastAsia"/>
          <w:i/>
          <w:iCs/>
          <w:color w:val="000000"/>
        </w:rPr>
        <w:t>of  transmitted</w:t>
      </w:r>
      <w:proofErr w:type="gramEnd"/>
      <w:r>
        <w:rPr>
          <w:rFonts w:eastAsia="宋体" w:hint="eastAsia"/>
          <w:i/>
          <w:iCs/>
          <w:color w:val="000000"/>
        </w:rPr>
        <w:t xml:space="preserve"> SSBs configured in </w:t>
      </w:r>
      <w:proofErr w:type="spellStart"/>
      <w:r>
        <w:rPr>
          <w:i/>
          <w:iCs/>
          <w:color w:val="000000"/>
        </w:rPr>
        <w:t>ssb-PositionsInBurst</w:t>
      </w:r>
      <w:proofErr w:type="spellEnd"/>
      <w:r>
        <w:rPr>
          <w:rFonts w:eastAsia="宋体" w:hint="eastAsia"/>
          <w:i/>
          <w:iCs/>
          <w:color w:val="000000"/>
        </w:rPr>
        <w:t xml:space="preserve">. </w:t>
      </w:r>
    </w:p>
    <w:p w:rsidR="008E1462" w:rsidRDefault="00C0295D">
      <w:pPr>
        <w:pStyle w:val="a7"/>
        <w:snapToGrid w:val="0"/>
        <w:spacing w:beforeLines="50" w:before="180" w:afterLines="50" w:after="180"/>
        <w:rPr>
          <w:rFonts w:eastAsia="宋体"/>
          <w:i/>
          <w:iCs/>
          <w:color w:val="auto"/>
          <w:kern w:val="0"/>
          <w:sz w:val="20"/>
        </w:rPr>
      </w:pPr>
      <w:r>
        <w:rPr>
          <w:rStyle w:val="normaltextrun"/>
          <w:rFonts w:eastAsiaTheme="minorEastAsia" w:hint="eastAsia"/>
          <w:b/>
          <w:i/>
          <w:iCs/>
          <w:sz w:val="20"/>
        </w:rPr>
        <w:t>Proposal 8:</w:t>
      </w:r>
      <w:r>
        <w:rPr>
          <w:rStyle w:val="normaltextrun"/>
          <w:rFonts w:eastAsiaTheme="minorEastAsia" w:hint="eastAsia"/>
          <w:bCs/>
          <w:i/>
          <w:iCs/>
          <w:sz w:val="20"/>
        </w:rPr>
        <w:t xml:space="preserve"> </w:t>
      </w:r>
      <w:r>
        <w:rPr>
          <w:rFonts w:eastAsia="宋体" w:hint="eastAsia"/>
          <w:i/>
          <w:iCs/>
          <w:color w:val="auto"/>
          <w:kern w:val="0"/>
          <w:sz w:val="20"/>
        </w:rPr>
        <w:t>PDSCH /PDCCH associated with serving cell PCI should be rate matched around non-servin</w:t>
      </w:r>
      <w:r>
        <w:rPr>
          <w:rFonts w:eastAsia="宋体" w:hint="eastAsia"/>
          <w:i/>
          <w:iCs/>
          <w:color w:val="auto"/>
          <w:kern w:val="0"/>
          <w:sz w:val="20"/>
        </w:rPr>
        <w:t>g cell SSB, and PDSCH/PDCCH associated with non-serving cell PCI should be rate matched around serving cell SSB as well.</w:t>
      </w:r>
    </w:p>
    <w:p w:rsidR="008E1462" w:rsidRDefault="00C0295D">
      <w:pPr>
        <w:pStyle w:val="a7"/>
        <w:snapToGrid w:val="0"/>
        <w:spacing w:beforeLines="50" w:before="180" w:afterLines="50" w:after="180"/>
        <w:rPr>
          <w:rFonts w:eastAsia="宋体"/>
          <w:i/>
          <w:iCs/>
          <w:color w:val="auto"/>
          <w:kern w:val="0"/>
          <w:sz w:val="20"/>
        </w:rPr>
      </w:pPr>
      <w:r>
        <w:rPr>
          <w:rFonts w:eastAsia="宋体" w:hint="eastAsia"/>
          <w:b/>
          <w:bCs/>
          <w:i/>
          <w:iCs/>
          <w:color w:val="auto"/>
          <w:kern w:val="0"/>
          <w:sz w:val="20"/>
        </w:rPr>
        <w:t>Proposal 9:</w:t>
      </w:r>
      <w:r>
        <w:rPr>
          <w:rFonts w:eastAsia="宋体" w:hint="eastAsia"/>
          <w:i/>
          <w:iCs/>
          <w:color w:val="auto"/>
          <w:kern w:val="0"/>
          <w:sz w:val="20"/>
        </w:rPr>
        <w:t xml:space="preserve"> Any UL channels/signals (no matter associated with serving cell PCI or non-serving cell PCI) should NOT be transmitted in t</w:t>
      </w:r>
      <w:r>
        <w:rPr>
          <w:rFonts w:eastAsia="宋体" w:hint="eastAsia"/>
          <w:i/>
          <w:iCs/>
          <w:color w:val="auto"/>
          <w:kern w:val="0"/>
          <w:sz w:val="20"/>
        </w:rPr>
        <w:t>he symbols of non-serving cell SSB.</w:t>
      </w:r>
    </w:p>
    <w:p w:rsidR="008E1462" w:rsidRDefault="00C0295D">
      <w:pPr>
        <w:pStyle w:val="1"/>
        <w:tabs>
          <w:tab w:val="clear" w:pos="432"/>
        </w:tabs>
        <w:snapToGrid w:val="0"/>
        <w:spacing w:beforeLines="50" w:before="180" w:beforeAutospacing="0" w:afterLines="50" w:after="180" w:afterAutospacing="0" w:line="240" w:lineRule="auto"/>
        <w:ind w:left="431" w:hanging="431"/>
        <w:jc w:val="both"/>
        <w:rPr>
          <w:rFonts w:ascii="Arial" w:hAnsi="Arial"/>
          <w:sz w:val="28"/>
          <w:lang w:val="en-US"/>
        </w:rPr>
      </w:pPr>
      <w:r>
        <w:rPr>
          <w:rFonts w:ascii="Arial" w:hAnsi="Arial"/>
          <w:sz w:val="28"/>
          <w:lang w:val="en-US"/>
        </w:rPr>
        <w:t>References</w:t>
      </w:r>
      <w:bookmarkStart w:id="2" w:name="_Ref446511358"/>
      <w:bookmarkStart w:id="3" w:name="_Ref446506608"/>
      <w:bookmarkStart w:id="4" w:name="_Ref446507216"/>
      <w:bookmarkEnd w:id="2"/>
      <w:bookmarkEnd w:id="3"/>
      <w:bookmarkEnd w:id="4"/>
    </w:p>
    <w:p w:rsidR="008E1462" w:rsidRDefault="00C0295D">
      <w:pPr>
        <w:numPr>
          <w:ilvl w:val="0"/>
          <w:numId w:val="8"/>
        </w:numPr>
        <w:snapToGrid w:val="0"/>
        <w:jc w:val="both"/>
        <w:rPr>
          <w:rFonts w:eastAsia="宋体"/>
        </w:rPr>
      </w:pPr>
      <w:r>
        <w:rPr>
          <w:rFonts w:hint="eastAsia"/>
          <w:szCs w:val="20"/>
        </w:rPr>
        <w:t xml:space="preserve">RAN1 </w:t>
      </w:r>
      <w:r>
        <w:rPr>
          <w:rFonts w:eastAsia="宋体" w:hint="eastAsia"/>
          <w:szCs w:val="20"/>
        </w:rPr>
        <w:t>Chairman's Notes RAN1#104-e final.</w:t>
      </w:r>
    </w:p>
    <w:p w:rsidR="008E1462" w:rsidRDefault="00C0295D">
      <w:pPr>
        <w:numPr>
          <w:ilvl w:val="0"/>
          <w:numId w:val="8"/>
        </w:numPr>
        <w:snapToGrid w:val="0"/>
        <w:jc w:val="both"/>
        <w:rPr>
          <w:rFonts w:eastAsia="宋体"/>
        </w:rPr>
      </w:pPr>
      <w:r>
        <w:rPr>
          <w:rFonts w:hint="eastAsia"/>
          <w:szCs w:val="20"/>
        </w:rPr>
        <w:t xml:space="preserve">RAN1 </w:t>
      </w:r>
      <w:r>
        <w:rPr>
          <w:rFonts w:eastAsia="宋体" w:hint="eastAsia"/>
          <w:szCs w:val="20"/>
        </w:rPr>
        <w:t>Chairman's Notes RAN1#104b-e final.</w:t>
      </w:r>
    </w:p>
    <w:p w:rsidR="008E1462" w:rsidRDefault="00C0295D">
      <w:pPr>
        <w:numPr>
          <w:ilvl w:val="0"/>
          <w:numId w:val="8"/>
        </w:numPr>
        <w:snapToGrid w:val="0"/>
        <w:jc w:val="both"/>
        <w:rPr>
          <w:rFonts w:eastAsia="宋体"/>
        </w:rPr>
      </w:pPr>
      <w:r>
        <w:rPr>
          <w:rFonts w:eastAsia="宋体" w:hint="eastAsia"/>
        </w:rPr>
        <w:t xml:space="preserve">3GPP TS 38.211 V16.4.0, </w:t>
      </w:r>
      <w:proofErr w:type="spellStart"/>
      <w:r>
        <w:rPr>
          <w:rFonts w:eastAsia="宋体" w:hint="eastAsia"/>
        </w:rPr>
        <w:t>subclause</w:t>
      </w:r>
      <w:proofErr w:type="spellEnd"/>
      <w:r>
        <w:rPr>
          <w:rFonts w:eastAsia="宋体" w:hint="eastAsia"/>
        </w:rPr>
        <w:t xml:space="preserve"> 7.4.1.5.2: </w:t>
      </w:r>
      <w:r>
        <w:t>Sequence generation</w:t>
      </w:r>
      <w:r>
        <w:rPr>
          <w:rFonts w:eastAsia="宋体" w:hint="eastAsia"/>
        </w:rPr>
        <w:t>.</w:t>
      </w:r>
    </w:p>
    <w:sectPr w:rsidR="008E1462">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B31DFA"/>
    <w:multiLevelType w:val="multilevel"/>
    <w:tmpl w:val="DBB31DFA"/>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621AF83"/>
    <w:multiLevelType w:val="multilevel"/>
    <w:tmpl w:val="2621AF83"/>
    <w:lvl w:ilvl="0">
      <w:start w:val="1"/>
      <w:numFmt w:val="decimal"/>
      <w:pStyle w:val="1"/>
      <w:isLgl/>
      <w:lvlText w:val="%1"/>
      <w:lvlJc w:val="left"/>
      <w:pPr>
        <w:tabs>
          <w:tab w:val="left" w:pos="432"/>
        </w:tabs>
        <w:ind w:left="432" w:hanging="432"/>
      </w:pPr>
      <w:rPr>
        <w:rFonts w:ascii="Arial" w:eastAsia="宋体" w:hAnsi="Arial" w:cs="Arial"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6">
    <w:nsid w:val="5BEB212E"/>
    <w:multiLevelType w:val="multilevel"/>
    <w:tmpl w:val="5BEB212E"/>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trackRevisions/>
  <w:defaultTabStop w:val="420"/>
  <w:drawingGridHorizontalSpacing w:val="110"/>
  <w:noPunctuationKerning/>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0D6"/>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49B"/>
    <w:rsid w:val="00005751"/>
    <w:rsid w:val="0000594B"/>
    <w:rsid w:val="00005AF1"/>
    <w:rsid w:val="00005C22"/>
    <w:rsid w:val="00006227"/>
    <w:rsid w:val="000062AC"/>
    <w:rsid w:val="000066E7"/>
    <w:rsid w:val="00006A0E"/>
    <w:rsid w:val="00006B81"/>
    <w:rsid w:val="00006EAC"/>
    <w:rsid w:val="0000705B"/>
    <w:rsid w:val="00007304"/>
    <w:rsid w:val="00007440"/>
    <w:rsid w:val="00007579"/>
    <w:rsid w:val="000077A3"/>
    <w:rsid w:val="00007B7E"/>
    <w:rsid w:val="00010475"/>
    <w:rsid w:val="000104F7"/>
    <w:rsid w:val="000105FC"/>
    <w:rsid w:val="0001060D"/>
    <w:rsid w:val="00010818"/>
    <w:rsid w:val="00010B8B"/>
    <w:rsid w:val="000117D6"/>
    <w:rsid w:val="000117E8"/>
    <w:rsid w:val="00011871"/>
    <w:rsid w:val="00011968"/>
    <w:rsid w:val="00011A09"/>
    <w:rsid w:val="00011A9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BD7"/>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3EF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680"/>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1FCA"/>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45"/>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2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83E"/>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42A"/>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DF6"/>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46"/>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B3D"/>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D72"/>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826"/>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C81"/>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1E"/>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8D0"/>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0F50"/>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B7"/>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62"/>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DC"/>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B7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9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670"/>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18"/>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178"/>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2E3"/>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53D"/>
    <w:rsid w:val="00215A32"/>
    <w:rsid w:val="00215AC0"/>
    <w:rsid w:val="00215EE3"/>
    <w:rsid w:val="00215F78"/>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4B3"/>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E9"/>
    <w:rsid w:val="00246A3D"/>
    <w:rsid w:val="00246F00"/>
    <w:rsid w:val="00247A6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E04"/>
    <w:rsid w:val="002B2FA6"/>
    <w:rsid w:val="002B2FC2"/>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0B93"/>
    <w:rsid w:val="002C102E"/>
    <w:rsid w:val="002C12AB"/>
    <w:rsid w:val="002C1467"/>
    <w:rsid w:val="002C1867"/>
    <w:rsid w:val="002C1CE4"/>
    <w:rsid w:val="002C1FA5"/>
    <w:rsid w:val="002C202A"/>
    <w:rsid w:val="002C2193"/>
    <w:rsid w:val="002C23A3"/>
    <w:rsid w:val="002C2522"/>
    <w:rsid w:val="002C2E27"/>
    <w:rsid w:val="002C2E5D"/>
    <w:rsid w:val="002C2E78"/>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DB"/>
    <w:rsid w:val="002D31FB"/>
    <w:rsid w:val="002D357A"/>
    <w:rsid w:val="002D35A4"/>
    <w:rsid w:val="002D3A57"/>
    <w:rsid w:val="002D402A"/>
    <w:rsid w:val="002D4142"/>
    <w:rsid w:val="002D4327"/>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7AA"/>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6FC"/>
    <w:rsid w:val="00372728"/>
    <w:rsid w:val="00372C2A"/>
    <w:rsid w:val="00372D23"/>
    <w:rsid w:val="00372D64"/>
    <w:rsid w:val="00372FAB"/>
    <w:rsid w:val="00373079"/>
    <w:rsid w:val="003731CF"/>
    <w:rsid w:val="00373383"/>
    <w:rsid w:val="003736CB"/>
    <w:rsid w:val="003738B5"/>
    <w:rsid w:val="0037394A"/>
    <w:rsid w:val="00373B6C"/>
    <w:rsid w:val="00373D74"/>
    <w:rsid w:val="00373E23"/>
    <w:rsid w:val="0037412A"/>
    <w:rsid w:val="00374599"/>
    <w:rsid w:val="00374727"/>
    <w:rsid w:val="0037480A"/>
    <w:rsid w:val="00374834"/>
    <w:rsid w:val="00374856"/>
    <w:rsid w:val="003749BD"/>
    <w:rsid w:val="00374C16"/>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2D2C"/>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3C3"/>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20"/>
    <w:rsid w:val="00393F9A"/>
    <w:rsid w:val="00394004"/>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1BA"/>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32"/>
    <w:rsid w:val="003B7EAF"/>
    <w:rsid w:val="003C036A"/>
    <w:rsid w:val="003C03B0"/>
    <w:rsid w:val="003C06C7"/>
    <w:rsid w:val="003C085D"/>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6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0DB1"/>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D63"/>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036"/>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76A"/>
    <w:rsid w:val="00447803"/>
    <w:rsid w:val="00447BC1"/>
    <w:rsid w:val="00447CE3"/>
    <w:rsid w:val="00447F0D"/>
    <w:rsid w:val="00447FF4"/>
    <w:rsid w:val="004500A3"/>
    <w:rsid w:val="00450246"/>
    <w:rsid w:val="00450349"/>
    <w:rsid w:val="00450373"/>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6FB"/>
    <w:rsid w:val="004A080A"/>
    <w:rsid w:val="004A0840"/>
    <w:rsid w:val="004A0D61"/>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28C"/>
    <w:rsid w:val="004E0554"/>
    <w:rsid w:val="004E0791"/>
    <w:rsid w:val="004E097A"/>
    <w:rsid w:val="004E09CD"/>
    <w:rsid w:val="004E1094"/>
    <w:rsid w:val="004E12A5"/>
    <w:rsid w:val="004E1780"/>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A1"/>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4E65"/>
    <w:rsid w:val="004F51E3"/>
    <w:rsid w:val="004F51FB"/>
    <w:rsid w:val="004F541A"/>
    <w:rsid w:val="004F55DD"/>
    <w:rsid w:val="004F561F"/>
    <w:rsid w:val="004F570C"/>
    <w:rsid w:val="004F57E3"/>
    <w:rsid w:val="004F59B4"/>
    <w:rsid w:val="004F69AC"/>
    <w:rsid w:val="004F6CDD"/>
    <w:rsid w:val="004F70E8"/>
    <w:rsid w:val="004F7192"/>
    <w:rsid w:val="004F72AE"/>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28"/>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375"/>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AF8"/>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48"/>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401"/>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7DB"/>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0F9A"/>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543"/>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DC5"/>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93D"/>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990"/>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7F7"/>
    <w:rsid w:val="005C4E5A"/>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107"/>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A7"/>
    <w:rsid w:val="00621BCE"/>
    <w:rsid w:val="00621C61"/>
    <w:rsid w:val="00621F8A"/>
    <w:rsid w:val="006221B2"/>
    <w:rsid w:val="006223D9"/>
    <w:rsid w:val="00622599"/>
    <w:rsid w:val="0062259F"/>
    <w:rsid w:val="006225A3"/>
    <w:rsid w:val="0062288D"/>
    <w:rsid w:val="00622E2E"/>
    <w:rsid w:val="006231F0"/>
    <w:rsid w:val="00623375"/>
    <w:rsid w:val="0062344F"/>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1A0"/>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913"/>
    <w:rsid w:val="00634D4C"/>
    <w:rsid w:val="006350C3"/>
    <w:rsid w:val="006359FC"/>
    <w:rsid w:val="00635A6B"/>
    <w:rsid w:val="00635D9E"/>
    <w:rsid w:val="00635EFB"/>
    <w:rsid w:val="00636345"/>
    <w:rsid w:val="00636349"/>
    <w:rsid w:val="00636AF5"/>
    <w:rsid w:val="00636CB8"/>
    <w:rsid w:val="00636EFE"/>
    <w:rsid w:val="006375AC"/>
    <w:rsid w:val="00637747"/>
    <w:rsid w:val="006378C0"/>
    <w:rsid w:val="00637BD0"/>
    <w:rsid w:val="00637C54"/>
    <w:rsid w:val="006401B6"/>
    <w:rsid w:val="00640543"/>
    <w:rsid w:val="006405D5"/>
    <w:rsid w:val="00641064"/>
    <w:rsid w:val="0064145F"/>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1B4"/>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28"/>
    <w:rsid w:val="0067204B"/>
    <w:rsid w:val="00672457"/>
    <w:rsid w:val="006726C8"/>
    <w:rsid w:val="00672706"/>
    <w:rsid w:val="00672778"/>
    <w:rsid w:val="00672AFE"/>
    <w:rsid w:val="00672C24"/>
    <w:rsid w:val="00672C47"/>
    <w:rsid w:val="00672D10"/>
    <w:rsid w:val="00672D75"/>
    <w:rsid w:val="0067327C"/>
    <w:rsid w:val="0067327E"/>
    <w:rsid w:val="0067347C"/>
    <w:rsid w:val="006734A3"/>
    <w:rsid w:val="006735F4"/>
    <w:rsid w:val="006737EE"/>
    <w:rsid w:val="006738A4"/>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AAF"/>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88"/>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CD2"/>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588"/>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6BD"/>
    <w:rsid w:val="00723719"/>
    <w:rsid w:val="007237B4"/>
    <w:rsid w:val="0072410D"/>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6FEB"/>
    <w:rsid w:val="0072777C"/>
    <w:rsid w:val="00727AE0"/>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79"/>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DD2"/>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C06"/>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61"/>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2DD6"/>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A71"/>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D4"/>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0B3"/>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2D1"/>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114"/>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452"/>
    <w:rsid w:val="007D7615"/>
    <w:rsid w:val="007D7778"/>
    <w:rsid w:val="007D77A6"/>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8BE"/>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CB4"/>
    <w:rsid w:val="007F7D8F"/>
    <w:rsid w:val="007F7D9E"/>
    <w:rsid w:val="007F7DA2"/>
    <w:rsid w:val="007F7DED"/>
    <w:rsid w:val="00800796"/>
    <w:rsid w:val="008007C7"/>
    <w:rsid w:val="00800921"/>
    <w:rsid w:val="00800959"/>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0"/>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4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16D"/>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B5"/>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2A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66"/>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CA4"/>
    <w:rsid w:val="00871D1D"/>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ABA"/>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5F72"/>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AF7"/>
    <w:rsid w:val="00895C6F"/>
    <w:rsid w:val="00895EDC"/>
    <w:rsid w:val="0089642B"/>
    <w:rsid w:val="008964B3"/>
    <w:rsid w:val="00896683"/>
    <w:rsid w:val="00896C56"/>
    <w:rsid w:val="00897124"/>
    <w:rsid w:val="0089785A"/>
    <w:rsid w:val="00897887"/>
    <w:rsid w:val="008978FC"/>
    <w:rsid w:val="00897AC7"/>
    <w:rsid w:val="00897ACB"/>
    <w:rsid w:val="00897FCB"/>
    <w:rsid w:val="008A0038"/>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6F4F"/>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4E5B"/>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462"/>
    <w:rsid w:val="008E18C2"/>
    <w:rsid w:val="008E1E64"/>
    <w:rsid w:val="008E238B"/>
    <w:rsid w:val="008E26F0"/>
    <w:rsid w:val="008E2726"/>
    <w:rsid w:val="008E27B8"/>
    <w:rsid w:val="008E2A0E"/>
    <w:rsid w:val="008E2E7F"/>
    <w:rsid w:val="008E2FA5"/>
    <w:rsid w:val="008E33FF"/>
    <w:rsid w:val="008E3799"/>
    <w:rsid w:val="008E37FD"/>
    <w:rsid w:val="008E3B8C"/>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D29"/>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B4F"/>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DCE"/>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97C"/>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BC"/>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2F78"/>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37DB1"/>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051"/>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CBF"/>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B35"/>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66E"/>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1834"/>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8B6"/>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9A"/>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07"/>
    <w:rsid w:val="009E61FC"/>
    <w:rsid w:val="009E6347"/>
    <w:rsid w:val="009E6724"/>
    <w:rsid w:val="009E675C"/>
    <w:rsid w:val="009E6B00"/>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645"/>
    <w:rsid w:val="00A100C9"/>
    <w:rsid w:val="00A10124"/>
    <w:rsid w:val="00A101B6"/>
    <w:rsid w:val="00A10416"/>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A95"/>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CFD"/>
    <w:rsid w:val="00A95097"/>
    <w:rsid w:val="00A95227"/>
    <w:rsid w:val="00A952BF"/>
    <w:rsid w:val="00A952D9"/>
    <w:rsid w:val="00A953FD"/>
    <w:rsid w:val="00A95794"/>
    <w:rsid w:val="00A95B72"/>
    <w:rsid w:val="00A95BD2"/>
    <w:rsid w:val="00A9602C"/>
    <w:rsid w:val="00A961CD"/>
    <w:rsid w:val="00A96320"/>
    <w:rsid w:val="00A966EF"/>
    <w:rsid w:val="00A96A35"/>
    <w:rsid w:val="00A96E78"/>
    <w:rsid w:val="00A96FCD"/>
    <w:rsid w:val="00A97602"/>
    <w:rsid w:val="00A97745"/>
    <w:rsid w:val="00A9779D"/>
    <w:rsid w:val="00A97811"/>
    <w:rsid w:val="00A97B2F"/>
    <w:rsid w:val="00A97C20"/>
    <w:rsid w:val="00AA07A2"/>
    <w:rsid w:val="00AA08D9"/>
    <w:rsid w:val="00AA0A31"/>
    <w:rsid w:val="00AA0E80"/>
    <w:rsid w:val="00AA17DE"/>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116"/>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75A"/>
    <w:rsid w:val="00AD5A38"/>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4F00"/>
    <w:rsid w:val="00AE5065"/>
    <w:rsid w:val="00AE53B7"/>
    <w:rsid w:val="00AE5440"/>
    <w:rsid w:val="00AE5471"/>
    <w:rsid w:val="00AE54F2"/>
    <w:rsid w:val="00AE570B"/>
    <w:rsid w:val="00AE5A65"/>
    <w:rsid w:val="00AE5A6A"/>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C1E"/>
    <w:rsid w:val="00B12F27"/>
    <w:rsid w:val="00B13088"/>
    <w:rsid w:val="00B13262"/>
    <w:rsid w:val="00B135A7"/>
    <w:rsid w:val="00B13857"/>
    <w:rsid w:val="00B13976"/>
    <w:rsid w:val="00B13BEF"/>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80"/>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181"/>
    <w:rsid w:val="00B364E2"/>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CE"/>
    <w:rsid w:val="00B424AC"/>
    <w:rsid w:val="00B42667"/>
    <w:rsid w:val="00B42C46"/>
    <w:rsid w:val="00B42D64"/>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43"/>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8BF"/>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1FA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12"/>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1A6C"/>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50"/>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33C"/>
    <w:rsid w:val="00C0264E"/>
    <w:rsid w:val="00C0295D"/>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27FA6"/>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8A"/>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627"/>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551"/>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DE8"/>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A24"/>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CE"/>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201"/>
    <w:rsid w:val="00CC2CFF"/>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921"/>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3E00"/>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7EA"/>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82F"/>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C94"/>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5A"/>
    <w:rsid w:val="00D14C0C"/>
    <w:rsid w:val="00D1539E"/>
    <w:rsid w:val="00D1548A"/>
    <w:rsid w:val="00D1561B"/>
    <w:rsid w:val="00D15C2B"/>
    <w:rsid w:val="00D16136"/>
    <w:rsid w:val="00D1629C"/>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8D8"/>
    <w:rsid w:val="00D40A59"/>
    <w:rsid w:val="00D40D83"/>
    <w:rsid w:val="00D41318"/>
    <w:rsid w:val="00D4138A"/>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4F48"/>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16"/>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253"/>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431"/>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6C7"/>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6CA1"/>
    <w:rsid w:val="00D977C1"/>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4FD3"/>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888"/>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46"/>
    <w:rsid w:val="00E1278F"/>
    <w:rsid w:val="00E12A72"/>
    <w:rsid w:val="00E12AEA"/>
    <w:rsid w:val="00E12AEF"/>
    <w:rsid w:val="00E12CAB"/>
    <w:rsid w:val="00E12F38"/>
    <w:rsid w:val="00E14225"/>
    <w:rsid w:val="00E1446D"/>
    <w:rsid w:val="00E14ABE"/>
    <w:rsid w:val="00E14BC4"/>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151"/>
    <w:rsid w:val="00E434E5"/>
    <w:rsid w:val="00E4375A"/>
    <w:rsid w:val="00E438AE"/>
    <w:rsid w:val="00E4450C"/>
    <w:rsid w:val="00E4464E"/>
    <w:rsid w:val="00E4475B"/>
    <w:rsid w:val="00E447D9"/>
    <w:rsid w:val="00E4483F"/>
    <w:rsid w:val="00E44D6D"/>
    <w:rsid w:val="00E45108"/>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238"/>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A9"/>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D7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10"/>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615"/>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0F"/>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385"/>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DD0"/>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1E4E"/>
    <w:rsid w:val="00EE2AEC"/>
    <w:rsid w:val="00EE3A5C"/>
    <w:rsid w:val="00EE3CB5"/>
    <w:rsid w:val="00EE3F8A"/>
    <w:rsid w:val="00EE42C6"/>
    <w:rsid w:val="00EE44B2"/>
    <w:rsid w:val="00EE44EB"/>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5F34"/>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0EE"/>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55D"/>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2F9"/>
    <w:rsid w:val="00F2664A"/>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4F9"/>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6D2"/>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AB7"/>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CD7"/>
    <w:rsid w:val="00F93FDB"/>
    <w:rsid w:val="00F94284"/>
    <w:rsid w:val="00F944BD"/>
    <w:rsid w:val="00F944D0"/>
    <w:rsid w:val="00F94826"/>
    <w:rsid w:val="00F949E2"/>
    <w:rsid w:val="00F94E77"/>
    <w:rsid w:val="00F94F31"/>
    <w:rsid w:val="00F9525D"/>
    <w:rsid w:val="00F95B1E"/>
    <w:rsid w:val="00F95D04"/>
    <w:rsid w:val="00F95E5A"/>
    <w:rsid w:val="00F95EDD"/>
    <w:rsid w:val="00F96071"/>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5C59"/>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DB8"/>
    <w:rsid w:val="00FF721C"/>
    <w:rsid w:val="00FF7362"/>
    <w:rsid w:val="00FF782D"/>
    <w:rsid w:val="00FF7893"/>
    <w:rsid w:val="00FF7A30"/>
    <w:rsid w:val="00FF7BA1"/>
    <w:rsid w:val="00FF7CEE"/>
    <w:rsid w:val="00FF7D22"/>
    <w:rsid w:val="01180B9B"/>
    <w:rsid w:val="01280BF3"/>
    <w:rsid w:val="012B3030"/>
    <w:rsid w:val="013D6F71"/>
    <w:rsid w:val="014C6490"/>
    <w:rsid w:val="0153040D"/>
    <w:rsid w:val="015F06F1"/>
    <w:rsid w:val="015F734B"/>
    <w:rsid w:val="01636D41"/>
    <w:rsid w:val="01651E70"/>
    <w:rsid w:val="01695898"/>
    <w:rsid w:val="016C0A1F"/>
    <w:rsid w:val="01767F6C"/>
    <w:rsid w:val="01780E1F"/>
    <w:rsid w:val="018C705C"/>
    <w:rsid w:val="01963534"/>
    <w:rsid w:val="019863D8"/>
    <w:rsid w:val="01AD105E"/>
    <w:rsid w:val="01B85CFE"/>
    <w:rsid w:val="01DB78E1"/>
    <w:rsid w:val="01E564E4"/>
    <w:rsid w:val="01E63A9C"/>
    <w:rsid w:val="01EC5904"/>
    <w:rsid w:val="01F150DA"/>
    <w:rsid w:val="01F6255D"/>
    <w:rsid w:val="020B64C6"/>
    <w:rsid w:val="0210087D"/>
    <w:rsid w:val="022845BE"/>
    <w:rsid w:val="024922D4"/>
    <w:rsid w:val="0254496F"/>
    <w:rsid w:val="02590ECE"/>
    <w:rsid w:val="025C60B9"/>
    <w:rsid w:val="025D0483"/>
    <w:rsid w:val="025F60B4"/>
    <w:rsid w:val="0263075E"/>
    <w:rsid w:val="02640818"/>
    <w:rsid w:val="027E37F5"/>
    <w:rsid w:val="02816A16"/>
    <w:rsid w:val="02834499"/>
    <w:rsid w:val="02892D0F"/>
    <w:rsid w:val="02911C0E"/>
    <w:rsid w:val="02B23334"/>
    <w:rsid w:val="02C34D3B"/>
    <w:rsid w:val="02CB318E"/>
    <w:rsid w:val="02E60F49"/>
    <w:rsid w:val="02F75AF2"/>
    <w:rsid w:val="02FA772F"/>
    <w:rsid w:val="030628EF"/>
    <w:rsid w:val="031D29F5"/>
    <w:rsid w:val="032979AF"/>
    <w:rsid w:val="033624DF"/>
    <w:rsid w:val="034F03FF"/>
    <w:rsid w:val="035167FE"/>
    <w:rsid w:val="03574F65"/>
    <w:rsid w:val="035A17B2"/>
    <w:rsid w:val="0364021E"/>
    <w:rsid w:val="03663A2A"/>
    <w:rsid w:val="036E5A98"/>
    <w:rsid w:val="03705764"/>
    <w:rsid w:val="03736763"/>
    <w:rsid w:val="038A570F"/>
    <w:rsid w:val="039E490B"/>
    <w:rsid w:val="03A06A49"/>
    <w:rsid w:val="03A2514F"/>
    <w:rsid w:val="03A66738"/>
    <w:rsid w:val="03AD28EF"/>
    <w:rsid w:val="03AD2B09"/>
    <w:rsid w:val="03C551FF"/>
    <w:rsid w:val="03C62B27"/>
    <w:rsid w:val="03CA4BC5"/>
    <w:rsid w:val="03CD42FF"/>
    <w:rsid w:val="03D0372E"/>
    <w:rsid w:val="03D05425"/>
    <w:rsid w:val="03DC5842"/>
    <w:rsid w:val="03E80493"/>
    <w:rsid w:val="03E85B99"/>
    <w:rsid w:val="03EA1CFF"/>
    <w:rsid w:val="03ED1A58"/>
    <w:rsid w:val="03EF11E1"/>
    <w:rsid w:val="03F25073"/>
    <w:rsid w:val="0407149F"/>
    <w:rsid w:val="040B72AA"/>
    <w:rsid w:val="04107DDA"/>
    <w:rsid w:val="04222EF0"/>
    <w:rsid w:val="04251C2B"/>
    <w:rsid w:val="04281C7E"/>
    <w:rsid w:val="042827BF"/>
    <w:rsid w:val="04350065"/>
    <w:rsid w:val="04364352"/>
    <w:rsid w:val="043B4BBE"/>
    <w:rsid w:val="044C49F9"/>
    <w:rsid w:val="044F2DD4"/>
    <w:rsid w:val="0458165B"/>
    <w:rsid w:val="04830ECF"/>
    <w:rsid w:val="04861C43"/>
    <w:rsid w:val="04891255"/>
    <w:rsid w:val="048B728A"/>
    <w:rsid w:val="048D4683"/>
    <w:rsid w:val="049A6A66"/>
    <w:rsid w:val="04A32EBA"/>
    <w:rsid w:val="04AC35F7"/>
    <w:rsid w:val="04AC52FB"/>
    <w:rsid w:val="04AF26AA"/>
    <w:rsid w:val="04B00D6D"/>
    <w:rsid w:val="04B42B59"/>
    <w:rsid w:val="04BE11AE"/>
    <w:rsid w:val="04CF3F94"/>
    <w:rsid w:val="04D6326B"/>
    <w:rsid w:val="04DF01BD"/>
    <w:rsid w:val="04E26543"/>
    <w:rsid w:val="051103B4"/>
    <w:rsid w:val="051B5F92"/>
    <w:rsid w:val="052A14E7"/>
    <w:rsid w:val="052A2AC1"/>
    <w:rsid w:val="052A64E9"/>
    <w:rsid w:val="053A1C6F"/>
    <w:rsid w:val="05677EA6"/>
    <w:rsid w:val="056A14EF"/>
    <w:rsid w:val="057E01D9"/>
    <w:rsid w:val="058224DD"/>
    <w:rsid w:val="058C1C2B"/>
    <w:rsid w:val="05955E24"/>
    <w:rsid w:val="05A279D2"/>
    <w:rsid w:val="05A56BB5"/>
    <w:rsid w:val="05BE5E92"/>
    <w:rsid w:val="05CA4822"/>
    <w:rsid w:val="05CC1FD8"/>
    <w:rsid w:val="05CF0362"/>
    <w:rsid w:val="05D10E9A"/>
    <w:rsid w:val="05D32D84"/>
    <w:rsid w:val="05D7661F"/>
    <w:rsid w:val="05DC4638"/>
    <w:rsid w:val="05DC59BB"/>
    <w:rsid w:val="05E26AB9"/>
    <w:rsid w:val="05E775FB"/>
    <w:rsid w:val="05FC1701"/>
    <w:rsid w:val="060E3A4E"/>
    <w:rsid w:val="060F3032"/>
    <w:rsid w:val="062D0004"/>
    <w:rsid w:val="063A4316"/>
    <w:rsid w:val="063F3A35"/>
    <w:rsid w:val="06625EB3"/>
    <w:rsid w:val="066D797B"/>
    <w:rsid w:val="06811C9D"/>
    <w:rsid w:val="06842305"/>
    <w:rsid w:val="0685217E"/>
    <w:rsid w:val="068B1A17"/>
    <w:rsid w:val="06926190"/>
    <w:rsid w:val="069E4252"/>
    <w:rsid w:val="069E5179"/>
    <w:rsid w:val="06A27BF1"/>
    <w:rsid w:val="06A91876"/>
    <w:rsid w:val="06A966F0"/>
    <w:rsid w:val="06A97A04"/>
    <w:rsid w:val="06AF2B54"/>
    <w:rsid w:val="06CD5F42"/>
    <w:rsid w:val="06D24771"/>
    <w:rsid w:val="06D626BD"/>
    <w:rsid w:val="06F4563B"/>
    <w:rsid w:val="06FA06F9"/>
    <w:rsid w:val="070263EC"/>
    <w:rsid w:val="070265EF"/>
    <w:rsid w:val="07086832"/>
    <w:rsid w:val="070F23E9"/>
    <w:rsid w:val="071931D8"/>
    <w:rsid w:val="07313446"/>
    <w:rsid w:val="07394384"/>
    <w:rsid w:val="073B25A4"/>
    <w:rsid w:val="07400E52"/>
    <w:rsid w:val="07457F2F"/>
    <w:rsid w:val="07482EEB"/>
    <w:rsid w:val="074B2FE2"/>
    <w:rsid w:val="07545D31"/>
    <w:rsid w:val="0766235E"/>
    <w:rsid w:val="07663B0C"/>
    <w:rsid w:val="076765E4"/>
    <w:rsid w:val="07700142"/>
    <w:rsid w:val="07826504"/>
    <w:rsid w:val="0785020B"/>
    <w:rsid w:val="078A2B93"/>
    <w:rsid w:val="07961FBF"/>
    <w:rsid w:val="079A0A61"/>
    <w:rsid w:val="079D21B1"/>
    <w:rsid w:val="07B75EE3"/>
    <w:rsid w:val="07C44C77"/>
    <w:rsid w:val="07C65FF7"/>
    <w:rsid w:val="07C90E92"/>
    <w:rsid w:val="07E227F9"/>
    <w:rsid w:val="07E347BB"/>
    <w:rsid w:val="07F22C33"/>
    <w:rsid w:val="07F247A2"/>
    <w:rsid w:val="07F3763F"/>
    <w:rsid w:val="07F74126"/>
    <w:rsid w:val="07FE1CA4"/>
    <w:rsid w:val="08190451"/>
    <w:rsid w:val="081A2BDD"/>
    <w:rsid w:val="08285EAC"/>
    <w:rsid w:val="0837062F"/>
    <w:rsid w:val="083F0B6F"/>
    <w:rsid w:val="084954D6"/>
    <w:rsid w:val="084B6C81"/>
    <w:rsid w:val="084F40CE"/>
    <w:rsid w:val="08587564"/>
    <w:rsid w:val="08637BE9"/>
    <w:rsid w:val="086A13BD"/>
    <w:rsid w:val="086C7CD8"/>
    <w:rsid w:val="087D5321"/>
    <w:rsid w:val="08805EFE"/>
    <w:rsid w:val="089C541C"/>
    <w:rsid w:val="08A12D8B"/>
    <w:rsid w:val="08A1519A"/>
    <w:rsid w:val="08A32ED8"/>
    <w:rsid w:val="08A807EF"/>
    <w:rsid w:val="08AD7352"/>
    <w:rsid w:val="08B10C46"/>
    <w:rsid w:val="08CF26D9"/>
    <w:rsid w:val="08CF5DD6"/>
    <w:rsid w:val="08D649BB"/>
    <w:rsid w:val="08D97B61"/>
    <w:rsid w:val="08E14ED5"/>
    <w:rsid w:val="08EC080A"/>
    <w:rsid w:val="08EF3AF5"/>
    <w:rsid w:val="08FC454D"/>
    <w:rsid w:val="08FC76CC"/>
    <w:rsid w:val="090E43AD"/>
    <w:rsid w:val="09186A05"/>
    <w:rsid w:val="0921664D"/>
    <w:rsid w:val="092267A1"/>
    <w:rsid w:val="093352C8"/>
    <w:rsid w:val="09355A5A"/>
    <w:rsid w:val="094A3425"/>
    <w:rsid w:val="094B3478"/>
    <w:rsid w:val="09521F45"/>
    <w:rsid w:val="09647A07"/>
    <w:rsid w:val="096C61CD"/>
    <w:rsid w:val="09707D56"/>
    <w:rsid w:val="097B1FA1"/>
    <w:rsid w:val="09915FE2"/>
    <w:rsid w:val="09973371"/>
    <w:rsid w:val="099F1B36"/>
    <w:rsid w:val="09A04D3F"/>
    <w:rsid w:val="09A50D41"/>
    <w:rsid w:val="09A63558"/>
    <w:rsid w:val="09A72A18"/>
    <w:rsid w:val="09C95166"/>
    <w:rsid w:val="09DB594B"/>
    <w:rsid w:val="09DE297E"/>
    <w:rsid w:val="09F01539"/>
    <w:rsid w:val="0A057456"/>
    <w:rsid w:val="0A257554"/>
    <w:rsid w:val="0A340D57"/>
    <w:rsid w:val="0A3D3F5A"/>
    <w:rsid w:val="0A4050DC"/>
    <w:rsid w:val="0A5E54BB"/>
    <w:rsid w:val="0A886D8D"/>
    <w:rsid w:val="0AAB733F"/>
    <w:rsid w:val="0AB61A46"/>
    <w:rsid w:val="0ABA06F0"/>
    <w:rsid w:val="0ABC7D82"/>
    <w:rsid w:val="0ABE7BB8"/>
    <w:rsid w:val="0AC42A22"/>
    <w:rsid w:val="0AC43612"/>
    <w:rsid w:val="0ADE1ED0"/>
    <w:rsid w:val="0AE27C3A"/>
    <w:rsid w:val="0AE852E5"/>
    <w:rsid w:val="0AFF5746"/>
    <w:rsid w:val="0B0E7577"/>
    <w:rsid w:val="0B1105A4"/>
    <w:rsid w:val="0B1F1B8F"/>
    <w:rsid w:val="0B261605"/>
    <w:rsid w:val="0B33375E"/>
    <w:rsid w:val="0B3D1F00"/>
    <w:rsid w:val="0B3D6687"/>
    <w:rsid w:val="0B5267B5"/>
    <w:rsid w:val="0B6428CF"/>
    <w:rsid w:val="0B75008B"/>
    <w:rsid w:val="0B78261E"/>
    <w:rsid w:val="0B7A16F5"/>
    <w:rsid w:val="0B7D3E3B"/>
    <w:rsid w:val="0B8020AE"/>
    <w:rsid w:val="0BA00657"/>
    <w:rsid w:val="0BAE3EB4"/>
    <w:rsid w:val="0BBD238C"/>
    <w:rsid w:val="0BC74117"/>
    <w:rsid w:val="0BCB58F1"/>
    <w:rsid w:val="0BCF4FC3"/>
    <w:rsid w:val="0BE80418"/>
    <w:rsid w:val="0BE8145A"/>
    <w:rsid w:val="0BED6EA5"/>
    <w:rsid w:val="0BF52A54"/>
    <w:rsid w:val="0BF66176"/>
    <w:rsid w:val="0BFC77DA"/>
    <w:rsid w:val="0BFE7534"/>
    <w:rsid w:val="0C1B5751"/>
    <w:rsid w:val="0C1C16ED"/>
    <w:rsid w:val="0C1E63D0"/>
    <w:rsid w:val="0C300595"/>
    <w:rsid w:val="0C300AF3"/>
    <w:rsid w:val="0C315A08"/>
    <w:rsid w:val="0C3770F5"/>
    <w:rsid w:val="0C3B4847"/>
    <w:rsid w:val="0C490551"/>
    <w:rsid w:val="0C4F4745"/>
    <w:rsid w:val="0C55338F"/>
    <w:rsid w:val="0C7E6BBF"/>
    <w:rsid w:val="0C9F7471"/>
    <w:rsid w:val="0CB30221"/>
    <w:rsid w:val="0CB33DF8"/>
    <w:rsid w:val="0CB66DAE"/>
    <w:rsid w:val="0CD957AA"/>
    <w:rsid w:val="0CE3672B"/>
    <w:rsid w:val="0CE71BA9"/>
    <w:rsid w:val="0CEE1332"/>
    <w:rsid w:val="0D0F6AA5"/>
    <w:rsid w:val="0D11788B"/>
    <w:rsid w:val="0D1727FB"/>
    <w:rsid w:val="0D190D03"/>
    <w:rsid w:val="0D2D4521"/>
    <w:rsid w:val="0D322DAB"/>
    <w:rsid w:val="0D330150"/>
    <w:rsid w:val="0D33393E"/>
    <w:rsid w:val="0D3825BE"/>
    <w:rsid w:val="0D596F0E"/>
    <w:rsid w:val="0D652B72"/>
    <w:rsid w:val="0D704C8F"/>
    <w:rsid w:val="0D710F51"/>
    <w:rsid w:val="0D7466F5"/>
    <w:rsid w:val="0D8317C5"/>
    <w:rsid w:val="0D8F5055"/>
    <w:rsid w:val="0DA05989"/>
    <w:rsid w:val="0DAD0E5E"/>
    <w:rsid w:val="0DBA058B"/>
    <w:rsid w:val="0DBC22FE"/>
    <w:rsid w:val="0DD61812"/>
    <w:rsid w:val="0DF144F2"/>
    <w:rsid w:val="0DF153A1"/>
    <w:rsid w:val="0DF363EA"/>
    <w:rsid w:val="0DF501D1"/>
    <w:rsid w:val="0DF63D4A"/>
    <w:rsid w:val="0E02670A"/>
    <w:rsid w:val="0E0D21D0"/>
    <w:rsid w:val="0E0F040B"/>
    <w:rsid w:val="0E19514C"/>
    <w:rsid w:val="0E206B54"/>
    <w:rsid w:val="0E21445D"/>
    <w:rsid w:val="0E514607"/>
    <w:rsid w:val="0E5153E6"/>
    <w:rsid w:val="0E595800"/>
    <w:rsid w:val="0E5D72AF"/>
    <w:rsid w:val="0E640EEC"/>
    <w:rsid w:val="0E646C4C"/>
    <w:rsid w:val="0E655187"/>
    <w:rsid w:val="0E792BCB"/>
    <w:rsid w:val="0E81441A"/>
    <w:rsid w:val="0E817C0D"/>
    <w:rsid w:val="0EA13C56"/>
    <w:rsid w:val="0EA374CA"/>
    <w:rsid w:val="0EAA7CFD"/>
    <w:rsid w:val="0EAD104F"/>
    <w:rsid w:val="0EAE3E2D"/>
    <w:rsid w:val="0EB318DE"/>
    <w:rsid w:val="0EC23165"/>
    <w:rsid w:val="0EC4122E"/>
    <w:rsid w:val="0ECD5EBA"/>
    <w:rsid w:val="0ED96555"/>
    <w:rsid w:val="0EDC64AF"/>
    <w:rsid w:val="0F156B37"/>
    <w:rsid w:val="0F30567F"/>
    <w:rsid w:val="0F3149D0"/>
    <w:rsid w:val="0F3379C5"/>
    <w:rsid w:val="0F446DA2"/>
    <w:rsid w:val="0F4A5479"/>
    <w:rsid w:val="0F7859C0"/>
    <w:rsid w:val="0F7B0F67"/>
    <w:rsid w:val="0F7E3CF6"/>
    <w:rsid w:val="0F8B64A8"/>
    <w:rsid w:val="0F8B6A7D"/>
    <w:rsid w:val="0FA14DC3"/>
    <w:rsid w:val="0FA51830"/>
    <w:rsid w:val="0FBC3F09"/>
    <w:rsid w:val="0FC6018D"/>
    <w:rsid w:val="0FCE732A"/>
    <w:rsid w:val="0FD53CC0"/>
    <w:rsid w:val="0FD702FB"/>
    <w:rsid w:val="0FFC0E88"/>
    <w:rsid w:val="101236D8"/>
    <w:rsid w:val="101A1193"/>
    <w:rsid w:val="101D4DFB"/>
    <w:rsid w:val="10240CAA"/>
    <w:rsid w:val="10241F33"/>
    <w:rsid w:val="102A4A5B"/>
    <w:rsid w:val="102E4206"/>
    <w:rsid w:val="103447BE"/>
    <w:rsid w:val="10611403"/>
    <w:rsid w:val="107113A6"/>
    <w:rsid w:val="107639F8"/>
    <w:rsid w:val="10797D1C"/>
    <w:rsid w:val="10A512A0"/>
    <w:rsid w:val="10AE0EDE"/>
    <w:rsid w:val="10B0306B"/>
    <w:rsid w:val="10B40C3F"/>
    <w:rsid w:val="10C2345A"/>
    <w:rsid w:val="10D841BB"/>
    <w:rsid w:val="10DA1C55"/>
    <w:rsid w:val="10E04069"/>
    <w:rsid w:val="10F84FB6"/>
    <w:rsid w:val="10FA1BF0"/>
    <w:rsid w:val="10FE148A"/>
    <w:rsid w:val="11074321"/>
    <w:rsid w:val="110932AA"/>
    <w:rsid w:val="110C723D"/>
    <w:rsid w:val="11122F2D"/>
    <w:rsid w:val="11303E23"/>
    <w:rsid w:val="11345BB0"/>
    <w:rsid w:val="114F16D2"/>
    <w:rsid w:val="114F30A9"/>
    <w:rsid w:val="11671285"/>
    <w:rsid w:val="11683084"/>
    <w:rsid w:val="116E210B"/>
    <w:rsid w:val="116F3D7B"/>
    <w:rsid w:val="1182106E"/>
    <w:rsid w:val="11984B39"/>
    <w:rsid w:val="11B53347"/>
    <w:rsid w:val="11BA299C"/>
    <w:rsid w:val="11BB08CD"/>
    <w:rsid w:val="11BC7F5C"/>
    <w:rsid w:val="11CD595B"/>
    <w:rsid w:val="11CE6176"/>
    <w:rsid w:val="11D37D40"/>
    <w:rsid w:val="11D65866"/>
    <w:rsid w:val="11DA7E02"/>
    <w:rsid w:val="11E46F2F"/>
    <w:rsid w:val="11FE4208"/>
    <w:rsid w:val="11FE4DF6"/>
    <w:rsid w:val="122D0E4A"/>
    <w:rsid w:val="122E20FD"/>
    <w:rsid w:val="123D0374"/>
    <w:rsid w:val="1258201F"/>
    <w:rsid w:val="126A4519"/>
    <w:rsid w:val="127C7DA9"/>
    <w:rsid w:val="12993C42"/>
    <w:rsid w:val="12AF45B4"/>
    <w:rsid w:val="12B05001"/>
    <w:rsid w:val="12C3624E"/>
    <w:rsid w:val="12C613CA"/>
    <w:rsid w:val="12C624BE"/>
    <w:rsid w:val="12C67CAA"/>
    <w:rsid w:val="12E26A09"/>
    <w:rsid w:val="12F667CD"/>
    <w:rsid w:val="12FD367F"/>
    <w:rsid w:val="13055E8B"/>
    <w:rsid w:val="130D2F92"/>
    <w:rsid w:val="131C4BE9"/>
    <w:rsid w:val="131F06D9"/>
    <w:rsid w:val="13251A5C"/>
    <w:rsid w:val="13433002"/>
    <w:rsid w:val="134D0C34"/>
    <w:rsid w:val="134E4423"/>
    <w:rsid w:val="1353753C"/>
    <w:rsid w:val="1359437E"/>
    <w:rsid w:val="136179A6"/>
    <w:rsid w:val="1369663C"/>
    <w:rsid w:val="137C5854"/>
    <w:rsid w:val="137E02B6"/>
    <w:rsid w:val="13AC6771"/>
    <w:rsid w:val="13B645D6"/>
    <w:rsid w:val="13BA460E"/>
    <w:rsid w:val="13C11F8B"/>
    <w:rsid w:val="13C30C6C"/>
    <w:rsid w:val="13C63EDD"/>
    <w:rsid w:val="13E53292"/>
    <w:rsid w:val="13F5754B"/>
    <w:rsid w:val="13F967AF"/>
    <w:rsid w:val="14133404"/>
    <w:rsid w:val="141662D5"/>
    <w:rsid w:val="14173183"/>
    <w:rsid w:val="14217F2F"/>
    <w:rsid w:val="14275812"/>
    <w:rsid w:val="143760E2"/>
    <w:rsid w:val="144641F5"/>
    <w:rsid w:val="1447424D"/>
    <w:rsid w:val="14526B1D"/>
    <w:rsid w:val="145E5731"/>
    <w:rsid w:val="146D6A31"/>
    <w:rsid w:val="148422F7"/>
    <w:rsid w:val="14916F28"/>
    <w:rsid w:val="14921624"/>
    <w:rsid w:val="14AA358A"/>
    <w:rsid w:val="14BB7897"/>
    <w:rsid w:val="14D577BC"/>
    <w:rsid w:val="14D857BE"/>
    <w:rsid w:val="14DB0B7B"/>
    <w:rsid w:val="14DF1E12"/>
    <w:rsid w:val="14F17C95"/>
    <w:rsid w:val="14F21BB5"/>
    <w:rsid w:val="14FA341F"/>
    <w:rsid w:val="15064C7B"/>
    <w:rsid w:val="15125F0F"/>
    <w:rsid w:val="1514212E"/>
    <w:rsid w:val="15153FE1"/>
    <w:rsid w:val="152E7D4A"/>
    <w:rsid w:val="153932B2"/>
    <w:rsid w:val="15421FF3"/>
    <w:rsid w:val="154A75DD"/>
    <w:rsid w:val="154C60B5"/>
    <w:rsid w:val="154F724C"/>
    <w:rsid w:val="155A51E0"/>
    <w:rsid w:val="155E63CC"/>
    <w:rsid w:val="15602D63"/>
    <w:rsid w:val="1560760B"/>
    <w:rsid w:val="156F2065"/>
    <w:rsid w:val="15723159"/>
    <w:rsid w:val="15752680"/>
    <w:rsid w:val="157F398B"/>
    <w:rsid w:val="158039D1"/>
    <w:rsid w:val="158234C3"/>
    <w:rsid w:val="15963DC8"/>
    <w:rsid w:val="15B27B58"/>
    <w:rsid w:val="15BD1CB8"/>
    <w:rsid w:val="15C2442B"/>
    <w:rsid w:val="15C70A44"/>
    <w:rsid w:val="15C92B8A"/>
    <w:rsid w:val="15DE16FF"/>
    <w:rsid w:val="15F30912"/>
    <w:rsid w:val="15F47171"/>
    <w:rsid w:val="15F7796F"/>
    <w:rsid w:val="15FD0696"/>
    <w:rsid w:val="15FF2640"/>
    <w:rsid w:val="15FF5EF9"/>
    <w:rsid w:val="1602232A"/>
    <w:rsid w:val="1607316E"/>
    <w:rsid w:val="160C61AA"/>
    <w:rsid w:val="160C6AAA"/>
    <w:rsid w:val="16136961"/>
    <w:rsid w:val="16281E46"/>
    <w:rsid w:val="1640665E"/>
    <w:rsid w:val="164D5FD4"/>
    <w:rsid w:val="165607D3"/>
    <w:rsid w:val="165E78B2"/>
    <w:rsid w:val="16645125"/>
    <w:rsid w:val="166B1337"/>
    <w:rsid w:val="166C0113"/>
    <w:rsid w:val="16824DF7"/>
    <w:rsid w:val="168C4FF2"/>
    <w:rsid w:val="16BE39E9"/>
    <w:rsid w:val="16D5549C"/>
    <w:rsid w:val="16E01545"/>
    <w:rsid w:val="16E11346"/>
    <w:rsid w:val="16EB0738"/>
    <w:rsid w:val="16F97BDE"/>
    <w:rsid w:val="17054D2B"/>
    <w:rsid w:val="17172689"/>
    <w:rsid w:val="172D4505"/>
    <w:rsid w:val="1739698C"/>
    <w:rsid w:val="174A616B"/>
    <w:rsid w:val="1754248F"/>
    <w:rsid w:val="1755210E"/>
    <w:rsid w:val="17673DA9"/>
    <w:rsid w:val="176A4CB8"/>
    <w:rsid w:val="177B3BA5"/>
    <w:rsid w:val="1793547F"/>
    <w:rsid w:val="179633BE"/>
    <w:rsid w:val="17A25B84"/>
    <w:rsid w:val="17AA7DD5"/>
    <w:rsid w:val="17AC24B0"/>
    <w:rsid w:val="17C20E1B"/>
    <w:rsid w:val="17CE4992"/>
    <w:rsid w:val="17D80A06"/>
    <w:rsid w:val="17DE446A"/>
    <w:rsid w:val="17ED1602"/>
    <w:rsid w:val="17F322B2"/>
    <w:rsid w:val="17F329A8"/>
    <w:rsid w:val="17F742B6"/>
    <w:rsid w:val="17F97A0F"/>
    <w:rsid w:val="180B67D5"/>
    <w:rsid w:val="18136E70"/>
    <w:rsid w:val="181C5228"/>
    <w:rsid w:val="18226EDE"/>
    <w:rsid w:val="18315C78"/>
    <w:rsid w:val="18350143"/>
    <w:rsid w:val="18534C5C"/>
    <w:rsid w:val="185433BD"/>
    <w:rsid w:val="18573F79"/>
    <w:rsid w:val="18592742"/>
    <w:rsid w:val="1865608A"/>
    <w:rsid w:val="186F4FB5"/>
    <w:rsid w:val="188105E3"/>
    <w:rsid w:val="189D247A"/>
    <w:rsid w:val="189E77FE"/>
    <w:rsid w:val="18AB1068"/>
    <w:rsid w:val="18B8291A"/>
    <w:rsid w:val="18C03451"/>
    <w:rsid w:val="18C1191E"/>
    <w:rsid w:val="18C343A0"/>
    <w:rsid w:val="18C563DC"/>
    <w:rsid w:val="18EB68CC"/>
    <w:rsid w:val="18FC3A19"/>
    <w:rsid w:val="19101FC3"/>
    <w:rsid w:val="192D164C"/>
    <w:rsid w:val="193C0E36"/>
    <w:rsid w:val="19482E1B"/>
    <w:rsid w:val="1950570D"/>
    <w:rsid w:val="19604CBC"/>
    <w:rsid w:val="19986A42"/>
    <w:rsid w:val="19B476A3"/>
    <w:rsid w:val="19C41149"/>
    <w:rsid w:val="19C51754"/>
    <w:rsid w:val="19C71E55"/>
    <w:rsid w:val="19DB0859"/>
    <w:rsid w:val="19DC27FE"/>
    <w:rsid w:val="19E020E7"/>
    <w:rsid w:val="19E607BA"/>
    <w:rsid w:val="19E863DB"/>
    <w:rsid w:val="19EB7243"/>
    <w:rsid w:val="1A032FF5"/>
    <w:rsid w:val="1A100D82"/>
    <w:rsid w:val="1A110726"/>
    <w:rsid w:val="1A19214D"/>
    <w:rsid w:val="1A2C714E"/>
    <w:rsid w:val="1A2F497E"/>
    <w:rsid w:val="1A33400A"/>
    <w:rsid w:val="1A4F7538"/>
    <w:rsid w:val="1A552186"/>
    <w:rsid w:val="1A573A96"/>
    <w:rsid w:val="1A5949AF"/>
    <w:rsid w:val="1A5F0684"/>
    <w:rsid w:val="1A694CA0"/>
    <w:rsid w:val="1A6A0BAA"/>
    <w:rsid w:val="1A711815"/>
    <w:rsid w:val="1A8650BB"/>
    <w:rsid w:val="1A9D3A48"/>
    <w:rsid w:val="1AA7641A"/>
    <w:rsid w:val="1AB75473"/>
    <w:rsid w:val="1ABB6E2A"/>
    <w:rsid w:val="1AC63C1B"/>
    <w:rsid w:val="1ACF690A"/>
    <w:rsid w:val="1AD354F8"/>
    <w:rsid w:val="1ADB6A7B"/>
    <w:rsid w:val="1ADE1C71"/>
    <w:rsid w:val="1ADF7266"/>
    <w:rsid w:val="1AE2238F"/>
    <w:rsid w:val="1AEB451C"/>
    <w:rsid w:val="1B006552"/>
    <w:rsid w:val="1B020921"/>
    <w:rsid w:val="1B037A18"/>
    <w:rsid w:val="1B1511C2"/>
    <w:rsid w:val="1B1E3089"/>
    <w:rsid w:val="1B270988"/>
    <w:rsid w:val="1B2A1336"/>
    <w:rsid w:val="1B342395"/>
    <w:rsid w:val="1B3B20FA"/>
    <w:rsid w:val="1B3C2D73"/>
    <w:rsid w:val="1B4162B0"/>
    <w:rsid w:val="1B45401A"/>
    <w:rsid w:val="1B457794"/>
    <w:rsid w:val="1B63544D"/>
    <w:rsid w:val="1B695370"/>
    <w:rsid w:val="1B7645D2"/>
    <w:rsid w:val="1B7975E3"/>
    <w:rsid w:val="1B7D4C5B"/>
    <w:rsid w:val="1B8A08C2"/>
    <w:rsid w:val="1B9A50B4"/>
    <w:rsid w:val="1BA54D43"/>
    <w:rsid w:val="1BA8258E"/>
    <w:rsid w:val="1BAC2E7D"/>
    <w:rsid w:val="1BAD4C50"/>
    <w:rsid w:val="1BBA6D0F"/>
    <w:rsid w:val="1BCD45EC"/>
    <w:rsid w:val="1BCF5BAB"/>
    <w:rsid w:val="1BF146DC"/>
    <w:rsid w:val="1C070699"/>
    <w:rsid w:val="1C230F93"/>
    <w:rsid w:val="1C290BD8"/>
    <w:rsid w:val="1C2A124E"/>
    <w:rsid w:val="1C363BF9"/>
    <w:rsid w:val="1C4469E1"/>
    <w:rsid w:val="1C59142B"/>
    <w:rsid w:val="1C5C714B"/>
    <w:rsid w:val="1C7F0ECC"/>
    <w:rsid w:val="1C9C387F"/>
    <w:rsid w:val="1CA45BB8"/>
    <w:rsid w:val="1CAB3E93"/>
    <w:rsid w:val="1CAB54EF"/>
    <w:rsid w:val="1CBF176F"/>
    <w:rsid w:val="1CC370F6"/>
    <w:rsid w:val="1CCD4946"/>
    <w:rsid w:val="1CD14AF0"/>
    <w:rsid w:val="1CD9354D"/>
    <w:rsid w:val="1CDA2AE5"/>
    <w:rsid w:val="1CED2A6D"/>
    <w:rsid w:val="1D0474C9"/>
    <w:rsid w:val="1D08287C"/>
    <w:rsid w:val="1D0D368B"/>
    <w:rsid w:val="1D173AB6"/>
    <w:rsid w:val="1D187EBB"/>
    <w:rsid w:val="1D216F09"/>
    <w:rsid w:val="1D37298A"/>
    <w:rsid w:val="1D3F573B"/>
    <w:rsid w:val="1D4849DA"/>
    <w:rsid w:val="1D514946"/>
    <w:rsid w:val="1D57266A"/>
    <w:rsid w:val="1D573888"/>
    <w:rsid w:val="1D712C85"/>
    <w:rsid w:val="1D71367F"/>
    <w:rsid w:val="1D72312A"/>
    <w:rsid w:val="1D7B3C6F"/>
    <w:rsid w:val="1D8173E6"/>
    <w:rsid w:val="1D8B5A63"/>
    <w:rsid w:val="1DA00582"/>
    <w:rsid w:val="1DB03F77"/>
    <w:rsid w:val="1DBE0159"/>
    <w:rsid w:val="1DBF15E9"/>
    <w:rsid w:val="1DC128C3"/>
    <w:rsid w:val="1DCE4D3E"/>
    <w:rsid w:val="1DD33C8A"/>
    <w:rsid w:val="1DD639FE"/>
    <w:rsid w:val="1DDC580D"/>
    <w:rsid w:val="1E185CFC"/>
    <w:rsid w:val="1E1D31C7"/>
    <w:rsid w:val="1E1F4942"/>
    <w:rsid w:val="1E252A2D"/>
    <w:rsid w:val="1E280CD2"/>
    <w:rsid w:val="1E2830DF"/>
    <w:rsid w:val="1E315353"/>
    <w:rsid w:val="1E37476D"/>
    <w:rsid w:val="1E377F71"/>
    <w:rsid w:val="1E51513D"/>
    <w:rsid w:val="1E5209CD"/>
    <w:rsid w:val="1E9E209E"/>
    <w:rsid w:val="1EB512F2"/>
    <w:rsid w:val="1EBD4274"/>
    <w:rsid w:val="1ED84D1E"/>
    <w:rsid w:val="1EF83B99"/>
    <w:rsid w:val="1EFB417F"/>
    <w:rsid w:val="1F0149DF"/>
    <w:rsid w:val="1F0D0574"/>
    <w:rsid w:val="1F1F57A2"/>
    <w:rsid w:val="1F26738C"/>
    <w:rsid w:val="1F3A5444"/>
    <w:rsid w:val="1F502DA6"/>
    <w:rsid w:val="1F556243"/>
    <w:rsid w:val="1F560FED"/>
    <w:rsid w:val="1F5C337D"/>
    <w:rsid w:val="1F683966"/>
    <w:rsid w:val="1F6E0470"/>
    <w:rsid w:val="1F7611D3"/>
    <w:rsid w:val="1F763CCA"/>
    <w:rsid w:val="1F793744"/>
    <w:rsid w:val="1F8D7BA7"/>
    <w:rsid w:val="1F942467"/>
    <w:rsid w:val="1F996E3C"/>
    <w:rsid w:val="1F9B0C3C"/>
    <w:rsid w:val="1F9B3182"/>
    <w:rsid w:val="1F9C39C9"/>
    <w:rsid w:val="1F9E4E4C"/>
    <w:rsid w:val="1FB5655D"/>
    <w:rsid w:val="1FBB56F3"/>
    <w:rsid w:val="1FC03EF2"/>
    <w:rsid w:val="1FC74D1B"/>
    <w:rsid w:val="1FC87651"/>
    <w:rsid w:val="1FD04333"/>
    <w:rsid w:val="1FD06351"/>
    <w:rsid w:val="1FD1232D"/>
    <w:rsid w:val="1FD1701A"/>
    <w:rsid w:val="1FDA47B1"/>
    <w:rsid w:val="1FED02F6"/>
    <w:rsid w:val="1FF14382"/>
    <w:rsid w:val="1FF61D25"/>
    <w:rsid w:val="1FF84208"/>
    <w:rsid w:val="1FFD3B6A"/>
    <w:rsid w:val="20005397"/>
    <w:rsid w:val="20040E42"/>
    <w:rsid w:val="20110E84"/>
    <w:rsid w:val="20355B0D"/>
    <w:rsid w:val="20435182"/>
    <w:rsid w:val="204A1EC9"/>
    <w:rsid w:val="204A37E7"/>
    <w:rsid w:val="20555B2E"/>
    <w:rsid w:val="205966D6"/>
    <w:rsid w:val="20696709"/>
    <w:rsid w:val="20806EFA"/>
    <w:rsid w:val="20897BDF"/>
    <w:rsid w:val="208A25A7"/>
    <w:rsid w:val="20991ED6"/>
    <w:rsid w:val="209A2287"/>
    <w:rsid w:val="20A42FC9"/>
    <w:rsid w:val="20A51DE1"/>
    <w:rsid w:val="20A867B6"/>
    <w:rsid w:val="20AE792A"/>
    <w:rsid w:val="20B51C50"/>
    <w:rsid w:val="20B54822"/>
    <w:rsid w:val="20BA10A9"/>
    <w:rsid w:val="20C637AC"/>
    <w:rsid w:val="20DF77BC"/>
    <w:rsid w:val="20E30788"/>
    <w:rsid w:val="20FD18F7"/>
    <w:rsid w:val="210F7D53"/>
    <w:rsid w:val="21114230"/>
    <w:rsid w:val="2112464F"/>
    <w:rsid w:val="21132D72"/>
    <w:rsid w:val="2119668E"/>
    <w:rsid w:val="211A20DA"/>
    <w:rsid w:val="21217775"/>
    <w:rsid w:val="212356BE"/>
    <w:rsid w:val="2134023C"/>
    <w:rsid w:val="214B24AF"/>
    <w:rsid w:val="215215F8"/>
    <w:rsid w:val="21554C66"/>
    <w:rsid w:val="217E18D6"/>
    <w:rsid w:val="217E4C9B"/>
    <w:rsid w:val="21A2200E"/>
    <w:rsid w:val="21A40B7F"/>
    <w:rsid w:val="21A85973"/>
    <w:rsid w:val="21B121C4"/>
    <w:rsid w:val="21C22593"/>
    <w:rsid w:val="21C771CB"/>
    <w:rsid w:val="21EC2218"/>
    <w:rsid w:val="21F15A2C"/>
    <w:rsid w:val="21F95701"/>
    <w:rsid w:val="221A15E4"/>
    <w:rsid w:val="221E5D8B"/>
    <w:rsid w:val="222F6CA1"/>
    <w:rsid w:val="223335C9"/>
    <w:rsid w:val="2269234C"/>
    <w:rsid w:val="22747DDB"/>
    <w:rsid w:val="227849E0"/>
    <w:rsid w:val="22811271"/>
    <w:rsid w:val="22856112"/>
    <w:rsid w:val="228C6AE9"/>
    <w:rsid w:val="229039A5"/>
    <w:rsid w:val="22903EBB"/>
    <w:rsid w:val="22992166"/>
    <w:rsid w:val="22B53180"/>
    <w:rsid w:val="22C01785"/>
    <w:rsid w:val="22CB64C1"/>
    <w:rsid w:val="22D0325A"/>
    <w:rsid w:val="22DB5F2F"/>
    <w:rsid w:val="22F31115"/>
    <w:rsid w:val="22F44EC0"/>
    <w:rsid w:val="22F9232A"/>
    <w:rsid w:val="230506AA"/>
    <w:rsid w:val="230D2136"/>
    <w:rsid w:val="231039EB"/>
    <w:rsid w:val="233E2E62"/>
    <w:rsid w:val="23533E3C"/>
    <w:rsid w:val="23555FBD"/>
    <w:rsid w:val="235614B8"/>
    <w:rsid w:val="237E1085"/>
    <w:rsid w:val="2389578A"/>
    <w:rsid w:val="238E0CC2"/>
    <w:rsid w:val="239B2C51"/>
    <w:rsid w:val="23A7544E"/>
    <w:rsid w:val="23A83127"/>
    <w:rsid w:val="23B42D0A"/>
    <w:rsid w:val="23BD3240"/>
    <w:rsid w:val="23BF2648"/>
    <w:rsid w:val="23C96B56"/>
    <w:rsid w:val="23CC50C5"/>
    <w:rsid w:val="23E438DC"/>
    <w:rsid w:val="23F14891"/>
    <w:rsid w:val="24065B2E"/>
    <w:rsid w:val="240A5ACF"/>
    <w:rsid w:val="240C0E96"/>
    <w:rsid w:val="241D73B4"/>
    <w:rsid w:val="24342583"/>
    <w:rsid w:val="243D1ED7"/>
    <w:rsid w:val="244C529B"/>
    <w:rsid w:val="24567B0C"/>
    <w:rsid w:val="24595EA9"/>
    <w:rsid w:val="245A3EC1"/>
    <w:rsid w:val="246607B7"/>
    <w:rsid w:val="24792050"/>
    <w:rsid w:val="247A096E"/>
    <w:rsid w:val="248620EA"/>
    <w:rsid w:val="248B6569"/>
    <w:rsid w:val="249F7CFA"/>
    <w:rsid w:val="24A23DFB"/>
    <w:rsid w:val="24A25054"/>
    <w:rsid w:val="24A5338B"/>
    <w:rsid w:val="24A770BC"/>
    <w:rsid w:val="24A84ADE"/>
    <w:rsid w:val="24B325CB"/>
    <w:rsid w:val="24C360D4"/>
    <w:rsid w:val="24C373ED"/>
    <w:rsid w:val="24C9069F"/>
    <w:rsid w:val="24D36A17"/>
    <w:rsid w:val="24E721B1"/>
    <w:rsid w:val="24EC2FF7"/>
    <w:rsid w:val="24F412CC"/>
    <w:rsid w:val="24F9029A"/>
    <w:rsid w:val="24FB1D91"/>
    <w:rsid w:val="25143F64"/>
    <w:rsid w:val="25170823"/>
    <w:rsid w:val="254146A7"/>
    <w:rsid w:val="25454899"/>
    <w:rsid w:val="254A6653"/>
    <w:rsid w:val="25555C08"/>
    <w:rsid w:val="255A45A1"/>
    <w:rsid w:val="255B001A"/>
    <w:rsid w:val="25610B65"/>
    <w:rsid w:val="25687BEB"/>
    <w:rsid w:val="257860F1"/>
    <w:rsid w:val="257A5F33"/>
    <w:rsid w:val="25826B54"/>
    <w:rsid w:val="25862AA3"/>
    <w:rsid w:val="258A06BD"/>
    <w:rsid w:val="258A778D"/>
    <w:rsid w:val="25953DB7"/>
    <w:rsid w:val="25957EEE"/>
    <w:rsid w:val="25A13B8D"/>
    <w:rsid w:val="25AF0139"/>
    <w:rsid w:val="25B0480A"/>
    <w:rsid w:val="25E1598F"/>
    <w:rsid w:val="25E358D7"/>
    <w:rsid w:val="25E844E2"/>
    <w:rsid w:val="25F87333"/>
    <w:rsid w:val="262853C8"/>
    <w:rsid w:val="262B344A"/>
    <w:rsid w:val="262F5DAB"/>
    <w:rsid w:val="26331BFE"/>
    <w:rsid w:val="263C2FCA"/>
    <w:rsid w:val="263C7389"/>
    <w:rsid w:val="26436D96"/>
    <w:rsid w:val="26474794"/>
    <w:rsid w:val="265561AC"/>
    <w:rsid w:val="26565096"/>
    <w:rsid w:val="26631FA4"/>
    <w:rsid w:val="26634708"/>
    <w:rsid w:val="26787A79"/>
    <w:rsid w:val="267A155C"/>
    <w:rsid w:val="267D3213"/>
    <w:rsid w:val="26916A98"/>
    <w:rsid w:val="269E28A2"/>
    <w:rsid w:val="269F1F56"/>
    <w:rsid w:val="26A614BB"/>
    <w:rsid w:val="26AA60F5"/>
    <w:rsid w:val="26AE512A"/>
    <w:rsid w:val="26AF121F"/>
    <w:rsid w:val="26B1777C"/>
    <w:rsid w:val="26B83A6C"/>
    <w:rsid w:val="26C10960"/>
    <w:rsid w:val="26DB1301"/>
    <w:rsid w:val="26DC7580"/>
    <w:rsid w:val="26E942DD"/>
    <w:rsid w:val="27001E87"/>
    <w:rsid w:val="270C37A0"/>
    <w:rsid w:val="27131D3E"/>
    <w:rsid w:val="271461F2"/>
    <w:rsid w:val="27187597"/>
    <w:rsid w:val="271C0791"/>
    <w:rsid w:val="2724461D"/>
    <w:rsid w:val="27266B33"/>
    <w:rsid w:val="272C5CF9"/>
    <w:rsid w:val="27464424"/>
    <w:rsid w:val="2747668A"/>
    <w:rsid w:val="274806C8"/>
    <w:rsid w:val="2752334F"/>
    <w:rsid w:val="27531B94"/>
    <w:rsid w:val="275F6100"/>
    <w:rsid w:val="2764174E"/>
    <w:rsid w:val="27700B35"/>
    <w:rsid w:val="277A3B78"/>
    <w:rsid w:val="277D1D0C"/>
    <w:rsid w:val="277F7492"/>
    <w:rsid w:val="27803E93"/>
    <w:rsid w:val="2788134B"/>
    <w:rsid w:val="27882C72"/>
    <w:rsid w:val="27961ADC"/>
    <w:rsid w:val="27A00464"/>
    <w:rsid w:val="27A57ABB"/>
    <w:rsid w:val="27BD4CCC"/>
    <w:rsid w:val="27CA2611"/>
    <w:rsid w:val="27CE5246"/>
    <w:rsid w:val="27CF5D9C"/>
    <w:rsid w:val="27DD0A2C"/>
    <w:rsid w:val="27ED036D"/>
    <w:rsid w:val="27F641BF"/>
    <w:rsid w:val="28003F0B"/>
    <w:rsid w:val="2803385C"/>
    <w:rsid w:val="28070001"/>
    <w:rsid w:val="28083688"/>
    <w:rsid w:val="280F2EA6"/>
    <w:rsid w:val="28256A9E"/>
    <w:rsid w:val="283939F0"/>
    <w:rsid w:val="28463FD9"/>
    <w:rsid w:val="28594E9F"/>
    <w:rsid w:val="28690E82"/>
    <w:rsid w:val="287C2035"/>
    <w:rsid w:val="288149BF"/>
    <w:rsid w:val="288F1FE6"/>
    <w:rsid w:val="28947132"/>
    <w:rsid w:val="289D6FBC"/>
    <w:rsid w:val="28AB4703"/>
    <w:rsid w:val="28B3318C"/>
    <w:rsid w:val="28C832D0"/>
    <w:rsid w:val="28CB57FE"/>
    <w:rsid w:val="28CE6166"/>
    <w:rsid w:val="28D7518D"/>
    <w:rsid w:val="28DE51B7"/>
    <w:rsid w:val="28F0107F"/>
    <w:rsid w:val="29083B3D"/>
    <w:rsid w:val="290E35DA"/>
    <w:rsid w:val="2913310C"/>
    <w:rsid w:val="29162023"/>
    <w:rsid w:val="29192837"/>
    <w:rsid w:val="29201D7A"/>
    <w:rsid w:val="292B1B70"/>
    <w:rsid w:val="293B7798"/>
    <w:rsid w:val="29403C61"/>
    <w:rsid w:val="29606EE6"/>
    <w:rsid w:val="29721AF9"/>
    <w:rsid w:val="29773877"/>
    <w:rsid w:val="298404B0"/>
    <w:rsid w:val="29936F43"/>
    <w:rsid w:val="299C39AF"/>
    <w:rsid w:val="299F017B"/>
    <w:rsid w:val="29A91F5E"/>
    <w:rsid w:val="29AC6880"/>
    <w:rsid w:val="29B05B7D"/>
    <w:rsid w:val="29BB6D3C"/>
    <w:rsid w:val="29C8558F"/>
    <w:rsid w:val="29D32F20"/>
    <w:rsid w:val="29DB3C33"/>
    <w:rsid w:val="29E47A49"/>
    <w:rsid w:val="29FD46B6"/>
    <w:rsid w:val="2A083949"/>
    <w:rsid w:val="2A201DDE"/>
    <w:rsid w:val="2A24268B"/>
    <w:rsid w:val="2A335710"/>
    <w:rsid w:val="2A4855D7"/>
    <w:rsid w:val="2A4A6B0C"/>
    <w:rsid w:val="2A592D0F"/>
    <w:rsid w:val="2A670DFB"/>
    <w:rsid w:val="2A79374A"/>
    <w:rsid w:val="2A7975BE"/>
    <w:rsid w:val="2A7B6947"/>
    <w:rsid w:val="2A7C6744"/>
    <w:rsid w:val="2A7E0511"/>
    <w:rsid w:val="2A871C11"/>
    <w:rsid w:val="2A8D0B0F"/>
    <w:rsid w:val="2A914420"/>
    <w:rsid w:val="2AB21DF9"/>
    <w:rsid w:val="2AB5028A"/>
    <w:rsid w:val="2AC728D2"/>
    <w:rsid w:val="2AD57EC8"/>
    <w:rsid w:val="2AD8573B"/>
    <w:rsid w:val="2AF22179"/>
    <w:rsid w:val="2AFC1B6B"/>
    <w:rsid w:val="2B0244E2"/>
    <w:rsid w:val="2B031B5F"/>
    <w:rsid w:val="2B0F2555"/>
    <w:rsid w:val="2B13639B"/>
    <w:rsid w:val="2B1544E5"/>
    <w:rsid w:val="2B2209F1"/>
    <w:rsid w:val="2B334D0B"/>
    <w:rsid w:val="2B37404A"/>
    <w:rsid w:val="2B3C5F48"/>
    <w:rsid w:val="2B413DAC"/>
    <w:rsid w:val="2B5059C7"/>
    <w:rsid w:val="2B64193C"/>
    <w:rsid w:val="2B6B314D"/>
    <w:rsid w:val="2B7007CF"/>
    <w:rsid w:val="2B722796"/>
    <w:rsid w:val="2B757DBF"/>
    <w:rsid w:val="2B8442FF"/>
    <w:rsid w:val="2B8B0C0F"/>
    <w:rsid w:val="2B8D6BD0"/>
    <w:rsid w:val="2B9B2478"/>
    <w:rsid w:val="2BA50466"/>
    <w:rsid w:val="2BB1570D"/>
    <w:rsid w:val="2BB34299"/>
    <w:rsid w:val="2BC2605F"/>
    <w:rsid w:val="2BC405A2"/>
    <w:rsid w:val="2BCC3285"/>
    <w:rsid w:val="2BD036BC"/>
    <w:rsid w:val="2BD154E9"/>
    <w:rsid w:val="2BD436ED"/>
    <w:rsid w:val="2BE01C6B"/>
    <w:rsid w:val="2BE83025"/>
    <w:rsid w:val="2BFA02AD"/>
    <w:rsid w:val="2C1153F3"/>
    <w:rsid w:val="2C1340C8"/>
    <w:rsid w:val="2C1349B3"/>
    <w:rsid w:val="2C1F54A6"/>
    <w:rsid w:val="2C372AEA"/>
    <w:rsid w:val="2C3B70A0"/>
    <w:rsid w:val="2C62566D"/>
    <w:rsid w:val="2C8E0DDA"/>
    <w:rsid w:val="2C9C2D10"/>
    <w:rsid w:val="2C9C4200"/>
    <w:rsid w:val="2CA16209"/>
    <w:rsid w:val="2CA35C5C"/>
    <w:rsid w:val="2CB11B6B"/>
    <w:rsid w:val="2CB8113B"/>
    <w:rsid w:val="2CCB7A09"/>
    <w:rsid w:val="2CCC3B45"/>
    <w:rsid w:val="2CD47606"/>
    <w:rsid w:val="2CEF481A"/>
    <w:rsid w:val="2CF21A3B"/>
    <w:rsid w:val="2CFA74B7"/>
    <w:rsid w:val="2D034B8C"/>
    <w:rsid w:val="2D127330"/>
    <w:rsid w:val="2D1922BF"/>
    <w:rsid w:val="2D1C58E8"/>
    <w:rsid w:val="2D1E6FAE"/>
    <w:rsid w:val="2D241683"/>
    <w:rsid w:val="2D251B00"/>
    <w:rsid w:val="2D262D25"/>
    <w:rsid w:val="2D265A20"/>
    <w:rsid w:val="2D331087"/>
    <w:rsid w:val="2D3B6728"/>
    <w:rsid w:val="2D405182"/>
    <w:rsid w:val="2D406663"/>
    <w:rsid w:val="2D420024"/>
    <w:rsid w:val="2D4D72C4"/>
    <w:rsid w:val="2D581E92"/>
    <w:rsid w:val="2D5C2E0D"/>
    <w:rsid w:val="2D70588B"/>
    <w:rsid w:val="2D7B41A4"/>
    <w:rsid w:val="2D7D178A"/>
    <w:rsid w:val="2D87256F"/>
    <w:rsid w:val="2DA31C74"/>
    <w:rsid w:val="2DB93055"/>
    <w:rsid w:val="2DBD4788"/>
    <w:rsid w:val="2DBE4293"/>
    <w:rsid w:val="2DC50A44"/>
    <w:rsid w:val="2DCA420C"/>
    <w:rsid w:val="2DCE6661"/>
    <w:rsid w:val="2DDB46FB"/>
    <w:rsid w:val="2DE11332"/>
    <w:rsid w:val="2DE46A81"/>
    <w:rsid w:val="2DEE6370"/>
    <w:rsid w:val="2DFF0FC0"/>
    <w:rsid w:val="2E0337A3"/>
    <w:rsid w:val="2E122A84"/>
    <w:rsid w:val="2E1C51B6"/>
    <w:rsid w:val="2E2D0256"/>
    <w:rsid w:val="2E432300"/>
    <w:rsid w:val="2E4740F4"/>
    <w:rsid w:val="2E5159B7"/>
    <w:rsid w:val="2E5549C7"/>
    <w:rsid w:val="2E590462"/>
    <w:rsid w:val="2E607DF7"/>
    <w:rsid w:val="2E6A1366"/>
    <w:rsid w:val="2E99111E"/>
    <w:rsid w:val="2E9E6CC7"/>
    <w:rsid w:val="2EA15D27"/>
    <w:rsid w:val="2EA8247E"/>
    <w:rsid w:val="2EBE0CB7"/>
    <w:rsid w:val="2EC26969"/>
    <w:rsid w:val="2EC96825"/>
    <w:rsid w:val="2ECB2949"/>
    <w:rsid w:val="2ECE63F8"/>
    <w:rsid w:val="2ED208A2"/>
    <w:rsid w:val="2EF00E9B"/>
    <w:rsid w:val="2F37094A"/>
    <w:rsid w:val="2F3B64FF"/>
    <w:rsid w:val="2F477462"/>
    <w:rsid w:val="2F4C40A5"/>
    <w:rsid w:val="2F563EC0"/>
    <w:rsid w:val="2F5762B0"/>
    <w:rsid w:val="2F591613"/>
    <w:rsid w:val="2F5B42DA"/>
    <w:rsid w:val="2F5E5488"/>
    <w:rsid w:val="2F764A55"/>
    <w:rsid w:val="2F7A32AC"/>
    <w:rsid w:val="2F9453AA"/>
    <w:rsid w:val="2F990185"/>
    <w:rsid w:val="2F9960ED"/>
    <w:rsid w:val="2F9A068B"/>
    <w:rsid w:val="2F9D74DB"/>
    <w:rsid w:val="2FA1782B"/>
    <w:rsid w:val="2FAE723E"/>
    <w:rsid w:val="2FB3377D"/>
    <w:rsid w:val="2FDF74CA"/>
    <w:rsid w:val="2FE75080"/>
    <w:rsid w:val="2FEE1CDB"/>
    <w:rsid w:val="2FEF3409"/>
    <w:rsid w:val="301B6949"/>
    <w:rsid w:val="30201DEC"/>
    <w:rsid w:val="30626F21"/>
    <w:rsid w:val="30741A2E"/>
    <w:rsid w:val="307E7076"/>
    <w:rsid w:val="307F5651"/>
    <w:rsid w:val="30865217"/>
    <w:rsid w:val="30871F9B"/>
    <w:rsid w:val="30880004"/>
    <w:rsid w:val="308A276F"/>
    <w:rsid w:val="308B2303"/>
    <w:rsid w:val="309762F2"/>
    <w:rsid w:val="309C1C91"/>
    <w:rsid w:val="30A22C4B"/>
    <w:rsid w:val="30A7467B"/>
    <w:rsid w:val="30AE2B58"/>
    <w:rsid w:val="30C21A50"/>
    <w:rsid w:val="30C536F8"/>
    <w:rsid w:val="30D3442A"/>
    <w:rsid w:val="30E77847"/>
    <w:rsid w:val="30FD42E7"/>
    <w:rsid w:val="31063524"/>
    <w:rsid w:val="31111818"/>
    <w:rsid w:val="3112228B"/>
    <w:rsid w:val="311B3483"/>
    <w:rsid w:val="31231D3C"/>
    <w:rsid w:val="312A405D"/>
    <w:rsid w:val="313C3448"/>
    <w:rsid w:val="313E3642"/>
    <w:rsid w:val="31455A5C"/>
    <w:rsid w:val="31542A30"/>
    <w:rsid w:val="3161328B"/>
    <w:rsid w:val="31677DCA"/>
    <w:rsid w:val="317B7969"/>
    <w:rsid w:val="318F7AB2"/>
    <w:rsid w:val="31AB5EC3"/>
    <w:rsid w:val="31B7469D"/>
    <w:rsid w:val="31BB2CE8"/>
    <w:rsid w:val="31BB49B7"/>
    <w:rsid w:val="31BB79ED"/>
    <w:rsid w:val="31C20B2E"/>
    <w:rsid w:val="31C22C6F"/>
    <w:rsid w:val="31C45B1E"/>
    <w:rsid w:val="31C6519A"/>
    <w:rsid w:val="31D26D13"/>
    <w:rsid w:val="31DA083D"/>
    <w:rsid w:val="31F02C1F"/>
    <w:rsid w:val="31F74844"/>
    <w:rsid w:val="31FA6967"/>
    <w:rsid w:val="3207574C"/>
    <w:rsid w:val="320C2F59"/>
    <w:rsid w:val="320F6237"/>
    <w:rsid w:val="32103AB7"/>
    <w:rsid w:val="3216702A"/>
    <w:rsid w:val="321F0EFF"/>
    <w:rsid w:val="3229136A"/>
    <w:rsid w:val="32390A31"/>
    <w:rsid w:val="32422E31"/>
    <w:rsid w:val="324E3508"/>
    <w:rsid w:val="32556B3B"/>
    <w:rsid w:val="325C521B"/>
    <w:rsid w:val="32622260"/>
    <w:rsid w:val="32637341"/>
    <w:rsid w:val="326C5E75"/>
    <w:rsid w:val="32766ADC"/>
    <w:rsid w:val="327A47BE"/>
    <w:rsid w:val="32825267"/>
    <w:rsid w:val="328D340B"/>
    <w:rsid w:val="32A27B77"/>
    <w:rsid w:val="32B53E59"/>
    <w:rsid w:val="32BA6E40"/>
    <w:rsid w:val="32BB18DA"/>
    <w:rsid w:val="32D101D4"/>
    <w:rsid w:val="32D2587B"/>
    <w:rsid w:val="32E47E1B"/>
    <w:rsid w:val="32EA52BF"/>
    <w:rsid w:val="32F32C04"/>
    <w:rsid w:val="32F33A30"/>
    <w:rsid w:val="32F744EE"/>
    <w:rsid w:val="32F940BC"/>
    <w:rsid w:val="32FF6751"/>
    <w:rsid w:val="33024DB1"/>
    <w:rsid w:val="330F4304"/>
    <w:rsid w:val="33114DDB"/>
    <w:rsid w:val="33117375"/>
    <w:rsid w:val="33185555"/>
    <w:rsid w:val="331A0B19"/>
    <w:rsid w:val="331A3857"/>
    <w:rsid w:val="33236624"/>
    <w:rsid w:val="332A7379"/>
    <w:rsid w:val="332E240F"/>
    <w:rsid w:val="332E3412"/>
    <w:rsid w:val="332F09CC"/>
    <w:rsid w:val="33346A83"/>
    <w:rsid w:val="334C5B8E"/>
    <w:rsid w:val="335845F2"/>
    <w:rsid w:val="335F6666"/>
    <w:rsid w:val="336E664F"/>
    <w:rsid w:val="337148D9"/>
    <w:rsid w:val="33752B01"/>
    <w:rsid w:val="337D3848"/>
    <w:rsid w:val="33A116D9"/>
    <w:rsid w:val="33A852D5"/>
    <w:rsid w:val="33C25D73"/>
    <w:rsid w:val="33C44CA1"/>
    <w:rsid w:val="33C51B6D"/>
    <w:rsid w:val="33D63411"/>
    <w:rsid w:val="33D864B6"/>
    <w:rsid w:val="33DD2C3C"/>
    <w:rsid w:val="33DF7B09"/>
    <w:rsid w:val="33E57E53"/>
    <w:rsid w:val="34037A3B"/>
    <w:rsid w:val="34193BE5"/>
    <w:rsid w:val="341C1D6F"/>
    <w:rsid w:val="341F1A92"/>
    <w:rsid w:val="342457C2"/>
    <w:rsid w:val="342910C4"/>
    <w:rsid w:val="34386A2F"/>
    <w:rsid w:val="344A06F0"/>
    <w:rsid w:val="34603AFF"/>
    <w:rsid w:val="34776D68"/>
    <w:rsid w:val="34972C19"/>
    <w:rsid w:val="34983500"/>
    <w:rsid w:val="34AE2BE2"/>
    <w:rsid w:val="34B60F57"/>
    <w:rsid w:val="34BE41EC"/>
    <w:rsid w:val="34DA5A70"/>
    <w:rsid w:val="34DF13CD"/>
    <w:rsid w:val="34DF36C3"/>
    <w:rsid w:val="34E0707D"/>
    <w:rsid w:val="35080E61"/>
    <w:rsid w:val="351D229D"/>
    <w:rsid w:val="35233233"/>
    <w:rsid w:val="35236787"/>
    <w:rsid w:val="35241438"/>
    <w:rsid w:val="353402AB"/>
    <w:rsid w:val="353448D5"/>
    <w:rsid w:val="354A23A5"/>
    <w:rsid w:val="357122EA"/>
    <w:rsid w:val="35722631"/>
    <w:rsid w:val="35890A9E"/>
    <w:rsid w:val="35894B8F"/>
    <w:rsid w:val="358A2517"/>
    <w:rsid w:val="359377CF"/>
    <w:rsid w:val="359A1C70"/>
    <w:rsid w:val="35A66E1F"/>
    <w:rsid w:val="35AD09C3"/>
    <w:rsid w:val="35B150CC"/>
    <w:rsid w:val="35B54D0A"/>
    <w:rsid w:val="35BF3F4C"/>
    <w:rsid w:val="35F67BCB"/>
    <w:rsid w:val="35F76562"/>
    <w:rsid w:val="35FF7757"/>
    <w:rsid w:val="36126473"/>
    <w:rsid w:val="362013CC"/>
    <w:rsid w:val="36397704"/>
    <w:rsid w:val="36577678"/>
    <w:rsid w:val="36663241"/>
    <w:rsid w:val="36676BC9"/>
    <w:rsid w:val="36676F03"/>
    <w:rsid w:val="366B6D5D"/>
    <w:rsid w:val="366F792B"/>
    <w:rsid w:val="367D7A13"/>
    <w:rsid w:val="367F72D0"/>
    <w:rsid w:val="36812403"/>
    <w:rsid w:val="36870544"/>
    <w:rsid w:val="368A5895"/>
    <w:rsid w:val="368D1CFF"/>
    <w:rsid w:val="36923A34"/>
    <w:rsid w:val="369826E4"/>
    <w:rsid w:val="36B57494"/>
    <w:rsid w:val="36BB69D9"/>
    <w:rsid w:val="36C65164"/>
    <w:rsid w:val="36CA0AA6"/>
    <w:rsid w:val="36CA535B"/>
    <w:rsid w:val="36D87A77"/>
    <w:rsid w:val="36DF27FB"/>
    <w:rsid w:val="36E921A1"/>
    <w:rsid w:val="36F64D32"/>
    <w:rsid w:val="36FC579D"/>
    <w:rsid w:val="370A1D54"/>
    <w:rsid w:val="37243E2F"/>
    <w:rsid w:val="37311211"/>
    <w:rsid w:val="37385903"/>
    <w:rsid w:val="374817AC"/>
    <w:rsid w:val="376326FA"/>
    <w:rsid w:val="37733839"/>
    <w:rsid w:val="378E1024"/>
    <w:rsid w:val="37B525D6"/>
    <w:rsid w:val="37BE78F7"/>
    <w:rsid w:val="37BF798B"/>
    <w:rsid w:val="37C23F8F"/>
    <w:rsid w:val="37C80B6E"/>
    <w:rsid w:val="37D36DF6"/>
    <w:rsid w:val="37D4449F"/>
    <w:rsid w:val="37D9256B"/>
    <w:rsid w:val="37E62C1B"/>
    <w:rsid w:val="37ED2FAB"/>
    <w:rsid w:val="380462C5"/>
    <w:rsid w:val="380C2567"/>
    <w:rsid w:val="38111B40"/>
    <w:rsid w:val="38161547"/>
    <w:rsid w:val="381B2717"/>
    <w:rsid w:val="38201FEF"/>
    <w:rsid w:val="38356875"/>
    <w:rsid w:val="383655F2"/>
    <w:rsid w:val="383867D2"/>
    <w:rsid w:val="3843776D"/>
    <w:rsid w:val="38443B46"/>
    <w:rsid w:val="384A0106"/>
    <w:rsid w:val="384A3492"/>
    <w:rsid w:val="384C6518"/>
    <w:rsid w:val="384D15CA"/>
    <w:rsid w:val="3894164E"/>
    <w:rsid w:val="389C66A5"/>
    <w:rsid w:val="389D6C69"/>
    <w:rsid w:val="389E2802"/>
    <w:rsid w:val="38A959D4"/>
    <w:rsid w:val="38AE4D5A"/>
    <w:rsid w:val="38B72979"/>
    <w:rsid w:val="38D35429"/>
    <w:rsid w:val="38DF7FF9"/>
    <w:rsid w:val="38EC5D63"/>
    <w:rsid w:val="38EC7B5D"/>
    <w:rsid w:val="38F55D42"/>
    <w:rsid w:val="38FF4B09"/>
    <w:rsid w:val="390D5FC5"/>
    <w:rsid w:val="39216C0F"/>
    <w:rsid w:val="392C79BA"/>
    <w:rsid w:val="393F4A55"/>
    <w:rsid w:val="395218D2"/>
    <w:rsid w:val="39575392"/>
    <w:rsid w:val="395B53C1"/>
    <w:rsid w:val="395C43F2"/>
    <w:rsid w:val="3965228B"/>
    <w:rsid w:val="39670ED0"/>
    <w:rsid w:val="397500E2"/>
    <w:rsid w:val="397833EE"/>
    <w:rsid w:val="39865EA3"/>
    <w:rsid w:val="398A3FEE"/>
    <w:rsid w:val="399552F9"/>
    <w:rsid w:val="399B54F4"/>
    <w:rsid w:val="399C19F7"/>
    <w:rsid w:val="399E1DC4"/>
    <w:rsid w:val="39B925E1"/>
    <w:rsid w:val="39BA13C8"/>
    <w:rsid w:val="39D218BE"/>
    <w:rsid w:val="39FF6A0D"/>
    <w:rsid w:val="3A080C7E"/>
    <w:rsid w:val="3A0C3E1D"/>
    <w:rsid w:val="3A0C5A34"/>
    <w:rsid w:val="3A1C7755"/>
    <w:rsid w:val="3A305785"/>
    <w:rsid w:val="3A32158C"/>
    <w:rsid w:val="3A444107"/>
    <w:rsid w:val="3A484B88"/>
    <w:rsid w:val="3A5A7033"/>
    <w:rsid w:val="3A5E7969"/>
    <w:rsid w:val="3A643A28"/>
    <w:rsid w:val="3A690E0C"/>
    <w:rsid w:val="3A6C703C"/>
    <w:rsid w:val="3A752CCA"/>
    <w:rsid w:val="3A765C48"/>
    <w:rsid w:val="3A7B345F"/>
    <w:rsid w:val="3A866BC6"/>
    <w:rsid w:val="3A911FB9"/>
    <w:rsid w:val="3A9B7985"/>
    <w:rsid w:val="3AAD5DFF"/>
    <w:rsid w:val="3ABE4288"/>
    <w:rsid w:val="3ACA2D53"/>
    <w:rsid w:val="3AEA6F2D"/>
    <w:rsid w:val="3AF43E10"/>
    <w:rsid w:val="3AF43F8E"/>
    <w:rsid w:val="3AFF5D8D"/>
    <w:rsid w:val="3B0309CB"/>
    <w:rsid w:val="3B0C7433"/>
    <w:rsid w:val="3B292BD7"/>
    <w:rsid w:val="3B312F5D"/>
    <w:rsid w:val="3B3C3874"/>
    <w:rsid w:val="3B592662"/>
    <w:rsid w:val="3B5D6AB6"/>
    <w:rsid w:val="3B6218ED"/>
    <w:rsid w:val="3B713C84"/>
    <w:rsid w:val="3BAD4688"/>
    <w:rsid w:val="3BAF3F1B"/>
    <w:rsid w:val="3BB405C4"/>
    <w:rsid w:val="3BB40E17"/>
    <w:rsid w:val="3BC8416D"/>
    <w:rsid w:val="3BCC3AD2"/>
    <w:rsid w:val="3BD615F4"/>
    <w:rsid w:val="3BD715EE"/>
    <w:rsid w:val="3BDF7C0B"/>
    <w:rsid w:val="3BE942A6"/>
    <w:rsid w:val="3C024E41"/>
    <w:rsid w:val="3C1B318D"/>
    <w:rsid w:val="3C1E66A9"/>
    <w:rsid w:val="3C244BC9"/>
    <w:rsid w:val="3C284D04"/>
    <w:rsid w:val="3C470CF1"/>
    <w:rsid w:val="3C4B3834"/>
    <w:rsid w:val="3C5925FB"/>
    <w:rsid w:val="3C693459"/>
    <w:rsid w:val="3C7568B5"/>
    <w:rsid w:val="3C8836B2"/>
    <w:rsid w:val="3C913A37"/>
    <w:rsid w:val="3C9A390C"/>
    <w:rsid w:val="3C9C7159"/>
    <w:rsid w:val="3C9F3ED4"/>
    <w:rsid w:val="3CA903D3"/>
    <w:rsid w:val="3CAB1870"/>
    <w:rsid w:val="3CB51B8B"/>
    <w:rsid w:val="3CB90F2D"/>
    <w:rsid w:val="3CBB086D"/>
    <w:rsid w:val="3CC84876"/>
    <w:rsid w:val="3CE578FF"/>
    <w:rsid w:val="3CEC0192"/>
    <w:rsid w:val="3CEF5EC6"/>
    <w:rsid w:val="3CF27B0E"/>
    <w:rsid w:val="3CFA6C45"/>
    <w:rsid w:val="3D015D95"/>
    <w:rsid w:val="3D025E99"/>
    <w:rsid w:val="3D0C2847"/>
    <w:rsid w:val="3D0F7421"/>
    <w:rsid w:val="3D2C502D"/>
    <w:rsid w:val="3D2E3AFF"/>
    <w:rsid w:val="3D410057"/>
    <w:rsid w:val="3D5F049A"/>
    <w:rsid w:val="3D65299D"/>
    <w:rsid w:val="3D7002C2"/>
    <w:rsid w:val="3D705445"/>
    <w:rsid w:val="3D80753F"/>
    <w:rsid w:val="3D91524E"/>
    <w:rsid w:val="3DAC2E59"/>
    <w:rsid w:val="3DB06A15"/>
    <w:rsid w:val="3DB27AFD"/>
    <w:rsid w:val="3DB644A1"/>
    <w:rsid w:val="3DD249E0"/>
    <w:rsid w:val="3DD436DE"/>
    <w:rsid w:val="3DE57922"/>
    <w:rsid w:val="3DEA5222"/>
    <w:rsid w:val="3E1E3713"/>
    <w:rsid w:val="3E2454EA"/>
    <w:rsid w:val="3E403169"/>
    <w:rsid w:val="3E57271F"/>
    <w:rsid w:val="3E8D6290"/>
    <w:rsid w:val="3EB645B3"/>
    <w:rsid w:val="3ED46D63"/>
    <w:rsid w:val="3EE823FD"/>
    <w:rsid w:val="3EEE4C2B"/>
    <w:rsid w:val="3EF64E4D"/>
    <w:rsid w:val="3F105B1E"/>
    <w:rsid w:val="3F1216C6"/>
    <w:rsid w:val="3F1428C1"/>
    <w:rsid w:val="3F290825"/>
    <w:rsid w:val="3F2B16DE"/>
    <w:rsid w:val="3F31483F"/>
    <w:rsid w:val="3F336778"/>
    <w:rsid w:val="3F365051"/>
    <w:rsid w:val="3F395583"/>
    <w:rsid w:val="3F40798A"/>
    <w:rsid w:val="3F470D43"/>
    <w:rsid w:val="3F4967BC"/>
    <w:rsid w:val="3F530DC6"/>
    <w:rsid w:val="3F5377BC"/>
    <w:rsid w:val="3F553D74"/>
    <w:rsid w:val="3F5C48D6"/>
    <w:rsid w:val="3F695CFB"/>
    <w:rsid w:val="3F6A0D82"/>
    <w:rsid w:val="3F6A2D29"/>
    <w:rsid w:val="3F7A7535"/>
    <w:rsid w:val="3F8064D7"/>
    <w:rsid w:val="3F8A6D38"/>
    <w:rsid w:val="3F8B187B"/>
    <w:rsid w:val="3F931D00"/>
    <w:rsid w:val="3F967246"/>
    <w:rsid w:val="3FAA799C"/>
    <w:rsid w:val="3FAB221E"/>
    <w:rsid w:val="3FBF0AD3"/>
    <w:rsid w:val="3FCC7782"/>
    <w:rsid w:val="3FCE76B0"/>
    <w:rsid w:val="3FDF5186"/>
    <w:rsid w:val="3FE63642"/>
    <w:rsid w:val="3FE65974"/>
    <w:rsid w:val="400966B5"/>
    <w:rsid w:val="400D155F"/>
    <w:rsid w:val="401E3DB1"/>
    <w:rsid w:val="4023639E"/>
    <w:rsid w:val="402D1C25"/>
    <w:rsid w:val="4034337D"/>
    <w:rsid w:val="40525F7A"/>
    <w:rsid w:val="4053239D"/>
    <w:rsid w:val="405758D8"/>
    <w:rsid w:val="405B41A1"/>
    <w:rsid w:val="407420FB"/>
    <w:rsid w:val="407C24CF"/>
    <w:rsid w:val="40806D30"/>
    <w:rsid w:val="4085076A"/>
    <w:rsid w:val="40862F22"/>
    <w:rsid w:val="40887294"/>
    <w:rsid w:val="40AB60D9"/>
    <w:rsid w:val="40AF30BC"/>
    <w:rsid w:val="40B77378"/>
    <w:rsid w:val="40DA5127"/>
    <w:rsid w:val="40DF247E"/>
    <w:rsid w:val="40E64E9A"/>
    <w:rsid w:val="410A2F86"/>
    <w:rsid w:val="41113D23"/>
    <w:rsid w:val="41130281"/>
    <w:rsid w:val="41183D52"/>
    <w:rsid w:val="41334B86"/>
    <w:rsid w:val="41351C68"/>
    <w:rsid w:val="413D3EC4"/>
    <w:rsid w:val="41414E62"/>
    <w:rsid w:val="414B1BB7"/>
    <w:rsid w:val="416F754E"/>
    <w:rsid w:val="41780330"/>
    <w:rsid w:val="41843CC0"/>
    <w:rsid w:val="41904E91"/>
    <w:rsid w:val="41956A0C"/>
    <w:rsid w:val="41AA6E82"/>
    <w:rsid w:val="41AE7837"/>
    <w:rsid w:val="41B519BD"/>
    <w:rsid w:val="41BA67B5"/>
    <w:rsid w:val="41BA7E70"/>
    <w:rsid w:val="41BB23FB"/>
    <w:rsid w:val="41CA10B2"/>
    <w:rsid w:val="41D20325"/>
    <w:rsid w:val="41DB2819"/>
    <w:rsid w:val="41EE0D4F"/>
    <w:rsid w:val="41FC4161"/>
    <w:rsid w:val="42052D95"/>
    <w:rsid w:val="42055045"/>
    <w:rsid w:val="420B1123"/>
    <w:rsid w:val="420B4F14"/>
    <w:rsid w:val="42186CA2"/>
    <w:rsid w:val="42250FC4"/>
    <w:rsid w:val="4237088B"/>
    <w:rsid w:val="424F5A7F"/>
    <w:rsid w:val="4254209D"/>
    <w:rsid w:val="42634F08"/>
    <w:rsid w:val="428A429C"/>
    <w:rsid w:val="428B6885"/>
    <w:rsid w:val="42906A44"/>
    <w:rsid w:val="42A415DE"/>
    <w:rsid w:val="42C22FB1"/>
    <w:rsid w:val="42C54810"/>
    <w:rsid w:val="42D305CE"/>
    <w:rsid w:val="42E36C5D"/>
    <w:rsid w:val="42E52701"/>
    <w:rsid w:val="42E56E08"/>
    <w:rsid w:val="42EA1004"/>
    <w:rsid w:val="42ED03DB"/>
    <w:rsid w:val="42F50B7B"/>
    <w:rsid w:val="42F66C22"/>
    <w:rsid w:val="43053AE6"/>
    <w:rsid w:val="43085A3B"/>
    <w:rsid w:val="430D5F17"/>
    <w:rsid w:val="431C439B"/>
    <w:rsid w:val="433472F9"/>
    <w:rsid w:val="433E3343"/>
    <w:rsid w:val="433F2E37"/>
    <w:rsid w:val="434E3B6E"/>
    <w:rsid w:val="434F6220"/>
    <w:rsid w:val="43571E2A"/>
    <w:rsid w:val="4373747F"/>
    <w:rsid w:val="438D7468"/>
    <w:rsid w:val="438F1D9B"/>
    <w:rsid w:val="438F44B4"/>
    <w:rsid w:val="439067D5"/>
    <w:rsid w:val="439411F8"/>
    <w:rsid w:val="43977D17"/>
    <w:rsid w:val="43A9023B"/>
    <w:rsid w:val="43AF5841"/>
    <w:rsid w:val="43B038A3"/>
    <w:rsid w:val="43B41E58"/>
    <w:rsid w:val="43BF2D22"/>
    <w:rsid w:val="43DD6205"/>
    <w:rsid w:val="43F07D1E"/>
    <w:rsid w:val="440E279E"/>
    <w:rsid w:val="440F49DD"/>
    <w:rsid w:val="44106909"/>
    <w:rsid w:val="442E7966"/>
    <w:rsid w:val="4434221F"/>
    <w:rsid w:val="443A492F"/>
    <w:rsid w:val="444177EC"/>
    <w:rsid w:val="44417F14"/>
    <w:rsid w:val="444F28C7"/>
    <w:rsid w:val="44511B1B"/>
    <w:rsid w:val="4456483A"/>
    <w:rsid w:val="44611A8F"/>
    <w:rsid w:val="446B0FA1"/>
    <w:rsid w:val="447606DC"/>
    <w:rsid w:val="447C75A6"/>
    <w:rsid w:val="44A0270A"/>
    <w:rsid w:val="44AB3C41"/>
    <w:rsid w:val="44AB51EB"/>
    <w:rsid w:val="44B7386E"/>
    <w:rsid w:val="44F25967"/>
    <w:rsid w:val="44F40442"/>
    <w:rsid w:val="44FC56FF"/>
    <w:rsid w:val="450F6995"/>
    <w:rsid w:val="45105635"/>
    <w:rsid w:val="451C0059"/>
    <w:rsid w:val="452F49E2"/>
    <w:rsid w:val="45311463"/>
    <w:rsid w:val="45501DAF"/>
    <w:rsid w:val="455B5C1B"/>
    <w:rsid w:val="456448D4"/>
    <w:rsid w:val="457174CF"/>
    <w:rsid w:val="458C7895"/>
    <w:rsid w:val="459557C4"/>
    <w:rsid w:val="45AA4AD2"/>
    <w:rsid w:val="45AE4BB8"/>
    <w:rsid w:val="45B80E28"/>
    <w:rsid w:val="45BC0EBC"/>
    <w:rsid w:val="45D1456B"/>
    <w:rsid w:val="45D53ED0"/>
    <w:rsid w:val="45DB460D"/>
    <w:rsid w:val="45EB5820"/>
    <w:rsid w:val="45FF1C64"/>
    <w:rsid w:val="460E375C"/>
    <w:rsid w:val="46164CEE"/>
    <w:rsid w:val="463C050E"/>
    <w:rsid w:val="46446F07"/>
    <w:rsid w:val="464F3C74"/>
    <w:rsid w:val="46601F98"/>
    <w:rsid w:val="466744A5"/>
    <w:rsid w:val="466852D6"/>
    <w:rsid w:val="466D3342"/>
    <w:rsid w:val="46796749"/>
    <w:rsid w:val="467A3B2C"/>
    <w:rsid w:val="46867C5A"/>
    <w:rsid w:val="4691548C"/>
    <w:rsid w:val="46951F49"/>
    <w:rsid w:val="469F4E35"/>
    <w:rsid w:val="46AA26BD"/>
    <w:rsid w:val="46AA7451"/>
    <w:rsid w:val="46C4380F"/>
    <w:rsid w:val="46C84C9D"/>
    <w:rsid w:val="46CD18CA"/>
    <w:rsid w:val="46D35C01"/>
    <w:rsid w:val="46EA2657"/>
    <w:rsid w:val="46EF0954"/>
    <w:rsid w:val="46F741B4"/>
    <w:rsid w:val="46F8593B"/>
    <w:rsid w:val="47064012"/>
    <w:rsid w:val="47117804"/>
    <w:rsid w:val="4721661C"/>
    <w:rsid w:val="472B7DBA"/>
    <w:rsid w:val="473460BA"/>
    <w:rsid w:val="47493D73"/>
    <w:rsid w:val="47647B18"/>
    <w:rsid w:val="4771744E"/>
    <w:rsid w:val="4773626F"/>
    <w:rsid w:val="479009E9"/>
    <w:rsid w:val="47AB41C6"/>
    <w:rsid w:val="47AB5858"/>
    <w:rsid w:val="47C65AE0"/>
    <w:rsid w:val="47DC518A"/>
    <w:rsid w:val="47DD6023"/>
    <w:rsid w:val="47E37A05"/>
    <w:rsid w:val="47EC19CE"/>
    <w:rsid w:val="47ED1B96"/>
    <w:rsid w:val="47EE066E"/>
    <w:rsid w:val="47F461D0"/>
    <w:rsid w:val="48021D20"/>
    <w:rsid w:val="480A0966"/>
    <w:rsid w:val="480B3AA1"/>
    <w:rsid w:val="48100516"/>
    <w:rsid w:val="48182FA3"/>
    <w:rsid w:val="481E0F96"/>
    <w:rsid w:val="482B10B3"/>
    <w:rsid w:val="482E665C"/>
    <w:rsid w:val="483A4A2F"/>
    <w:rsid w:val="48402A6B"/>
    <w:rsid w:val="484D7AE6"/>
    <w:rsid w:val="48526BD2"/>
    <w:rsid w:val="485C540E"/>
    <w:rsid w:val="48641A25"/>
    <w:rsid w:val="486A6174"/>
    <w:rsid w:val="487A5CE4"/>
    <w:rsid w:val="488A70A0"/>
    <w:rsid w:val="489E3DFA"/>
    <w:rsid w:val="489F1A32"/>
    <w:rsid w:val="48B55EF2"/>
    <w:rsid w:val="48BC5246"/>
    <w:rsid w:val="48CE085D"/>
    <w:rsid w:val="49056AD9"/>
    <w:rsid w:val="490629CC"/>
    <w:rsid w:val="49063272"/>
    <w:rsid w:val="49154DEA"/>
    <w:rsid w:val="491F69AB"/>
    <w:rsid w:val="493B495E"/>
    <w:rsid w:val="49501368"/>
    <w:rsid w:val="49567AA8"/>
    <w:rsid w:val="496E375F"/>
    <w:rsid w:val="497C0831"/>
    <w:rsid w:val="49820212"/>
    <w:rsid w:val="49857FAC"/>
    <w:rsid w:val="499F39AF"/>
    <w:rsid w:val="49A144A1"/>
    <w:rsid w:val="49A64729"/>
    <w:rsid w:val="49AA1350"/>
    <w:rsid w:val="49CB6D8C"/>
    <w:rsid w:val="49CE72FB"/>
    <w:rsid w:val="49D527C7"/>
    <w:rsid w:val="49DA2085"/>
    <w:rsid w:val="49F309FE"/>
    <w:rsid w:val="4A0F6384"/>
    <w:rsid w:val="4A132E77"/>
    <w:rsid w:val="4A1A43D6"/>
    <w:rsid w:val="4A2B52DC"/>
    <w:rsid w:val="4A340A7F"/>
    <w:rsid w:val="4A41015F"/>
    <w:rsid w:val="4A420254"/>
    <w:rsid w:val="4A467ED5"/>
    <w:rsid w:val="4A4B19C0"/>
    <w:rsid w:val="4A5A0BC1"/>
    <w:rsid w:val="4A631F8D"/>
    <w:rsid w:val="4A67536A"/>
    <w:rsid w:val="4A824ECC"/>
    <w:rsid w:val="4A97464B"/>
    <w:rsid w:val="4AAA5D79"/>
    <w:rsid w:val="4AB31F70"/>
    <w:rsid w:val="4AB479AD"/>
    <w:rsid w:val="4ABA1183"/>
    <w:rsid w:val="4AE84C04"/>
    <w:rsid w:val="4AF41EC3"/>
    <w:rsid w:val="4B06675B"/>
    <w:rsid w:val="4B071EA7"/>
    <w:rsid w:val="4B0A7792"/>
    <w:rsid w:val="4B102858"/>
    <w:rsid w:val="4B1635B8"/>
    <w:rsid w:val="4B1D404A"/>
    <w:rsid w:val="4B1D6860"/>
    <w:rsid w:val="4B3913E0"/>
    <w:rsid w:val="4B405EF3"/>
    <w:rsid w:val="4B43378F"/>
    <w:rsid w:val="4B691FB4"/>
    <w:rsid w:val="4B78376A"/>
    <w:rsid w:val="4B97645B"/>
    <w:rsid w:val="4BAA7821"/>
    <w:rsid w:val="4BB74642"/>
    <w:rsid w:val="4BB74E73"/>
    <w:rsid w:val="4BBF43B2"/>
    <w:rsid w:val="4BC06A4C"/>
    <w:rsid w:val="4BD019F4"/>
    <w:rsid w:val="4BDC4123"/>
    <w:rsid w:val="4BDD0791"/>
    <w:rsid w:val="4BDE3B04"/>
    <w:rsid w:val="4BEC0201"/>
    <w:rsid w:val="4C0B5075"/>
    <w:rsid w:val="4C162D58"/>
    <w:rsid w:val="4C212A42"/>
    <w:rsid w:val="4C253897"/>
    <w:rsid w:val="4C254AC6"/>
    <w:rsid w:val="4C28266E"/>
    <w:rsid w:val="4C534895"/>
    <w:rsid w:val="4C582A94"/>
    <w:rsid w:val="4C8513D2"/>
    <w:rsid w:val="4C895C86"/>
    <w:rsid w:val="4C9038A8"/>
    <w:rsid w:val="4CAA5B9A"/>
    <w:rsid w:val="4CD914BA"/>
    <w:rsid w:val="4CE341F4"/>
    <w:rsid w:val="4CE4342E"/>
    <w:rsid w:val="4CE46BC2"/>
    <w:rsid w:val="4D24678E"/>
    <w:rsid w:val="4D417A79"/>
    <w:rsid w:val="4D4312A1"/>
    <w:rsid w:val="4D511A34"/>
    <w:rsid w:val="4D5E0EFA"/>
    <w:rsid w:val="4D76024F"/>
    <w:rsid w:val="4D841AA7"/>
    <w:rsid w:val="4D865ACB"/>
    <w:rsid w:val="4D904C4F"/>
    <w:rsid w:val="4D993A13"/>
    <w:rsid w:val="4D9971E4"/>
    <w:rsid w:val="4DA74020"/>
    <w:rsid w:val="4DA9231B"/>
    <w:rsid w:val="4DC64010"/>
    <w:rsid w:val="4DCD20DB"/>
    <w:rsid w:val="4DD4661F"/>
    <w:rsid w:val="4DEC5AE6"/>
    <w:rsid w:val="4DF92CEE"/>
    <w:rsid w:val="4DFC251F"/>
    <w:rsid w:val="4E1207D2"/>
    <w:rsid w:val="4E1C183C"/>
    <w:rsid w:val="4E243364"/>
    <w:rsid w:val="4E2822E8"/>
    <w:rsid w:val="4E2C467D"/>
    <w:rsid w:val="4E311692"/>
    <w:rsid w:val="4E3343DD"/>
    <w:rsid w:val="4E5A1AAC"/>
    <w:rsid w:val="4E796826"/>
    <w:rsid w:val="4E7F4E0A"/>
    <w:rsid w:val="4E89141F"/>
    <w:rsid w:val="4E9D2E7D"/>
    <w:rsid w:val="4EA23511"/>
    <w:rsid w:val="4EA60DCF"/>
    <w:rsid w:val="4EB2147A"/>
    <w:rsid w:val="4EB536C3"/>
    <w:rsid w:val="4EBA6825"/>
    <w:rsid w:val="4EC07358"/>
    <w:rsid w:val="4ED14E80"/>
    <w:rsid w:val="4EDB24EC"/>
    <w:rsid w:val="4EE475CD"/>
    <w:rsid w:val="4EF6134A"/>
    <w:rsid w:val="4F377438"/>
    <w:rsid w:val="4F396529"/>
    <w:rsid w:val="4F3B7460"/>
    <w:rsid w:val="4F3D39E3"/>
    <w:rsid w:val="4F3E53FB"/>
    <w:rsid w:val="4F3F58B4"/>
    <w:rsid w:val="4F553197"/>
    <w:rsid w:val="4F577DFB"/>
    <w:rsid w:val="4F9B1494"/>
    <w:rsid w:val="4F9C5BE3"/>
    <w:rsid w:val="4FA77A5C"/>
    <w:rsid w:val="4FA951BE"/>
    <w:rsid w:val="4FA97ADE"/>
    <w:rsid w:val="4FB109E2"/>
    <w:rsid w:val="4FB50E38"/>
    <w:rsid w:val="4FB64A96"/>
    <w:rsid w:val="4FB82427"/>
    <w:rsid w:val="4FC02E4C"/>
    <w:rsid w:val="4FD7450A"/>
    <w:rsid w:val="4FEA45AF"/>
    <w:rsid w:val="4FEA6AF9"/>
    <w:rsid w:val="4FEC4D03"/>
    <w:rsid w:val="4FEE0C77"/>
    <w:rsid w:val="4FFA5761"/>
    <w:rsid w:val="4FFE5B72"/>
    <w:rsid w:val="4FFF2311"/>
    <w:rsid w:val="500E7233"/>
    <w:rsid w:val="50123BC0"/>
    <w:rsid w:val="50125B57"/>
    <w:rsid w:val="504174D9"/>
    <w:rsid w:val="50453229"/>
    <w:rsid w:val="504D7E75"/>
    <w:rsid w:val="505A5651"/>
    <w:rsid w:val="50682657"/>
    <w:rsid w:val="506B057F"/>
    <w:rsid w:val="507E2149"/>
    <w:rsid w:val="5095221A"/>
    <w:rsid w:val="50A033AC"/>
    <w:rsid w:val="50AB00D6"/>
    <w:rsid w:val="50AE4856"/>
    <w:rsid w:val="50B421C0"/>
    <w:rsid w:val="50B70EA8"/>
    <w:rsid w:val="50BA6772"/>
    <w:rsid w:val="50BA6A29"/>
    <w:rsid w:val="50C21434"/>
    <w:rsid w:val="50CB601A"/>
    <w:rsid w:val="50D2253B"/>
    <w:rsid w:val="50E9548C"/>
    <w:rsid w:val="50EF1F57"/>
    <w:rsid w:val="51147954"/>
    <w:rsid w:val="511928E6"/>
    <w:rsid w:val="51203A4C"/>
    <w:rsid w:val="512239AB"/>
    <w:rsid w:val="51323DE6"/>
    <w:rsid w:val="513B6040"/>
    <w:rsid w:val="5144288F"/>
    <w:rsid w:val="51551C56"/>
    <w:rsid w:val="5156562C"/>
    <w:rsid w:val="51580054"/>
    <w:rsid w:val="51607F5A"/>
    <w:rsid w:val="51700899"/>
    <w:rsid w:val="51720702"/>
    <w:rsid w:val="517C3121"/>
    <w:rsid w:val="518202BE"/>
    <w:rsid w:val="519C68A1"/>
    <w:rsid w:val="519E309F"/>
    <w:rsid w:val="51A412E2"/>
    <w:rsid w:val="51A87C8F"/>
    <w:rsid w:val="51CA03A0"/>
    <w:rsid w:val="51E14AA7"/>
    <w:rsid w:val="51E42B83"/>
    <w:rsid w:val="5204219E"/>
    <w:rsid w:val="520424E3"/>
    <w:rsid w:val="521F6194"/>
    <w:rsid w:val="52255475"/>
    <w:rsid w:val="52313A50"/>
    <w:rsid w:val="52376D20"/>
    <w:rsid w:val="523D58A7"/>
    <w:rsid w:val="52423280"/>
    <w:rsid w:val="524D6857"/>
    <w:rsid w:val="52575742"/>
    <w:rsid w:val="527226C8"/>
    <w:rsid w:val="52724435"/>
    <w:rsid w:val="52894A70"/>
    <w:rsid w:val="5298788F"/>
    <w:rsid w:val="529E0B16"/>
    <w:rsid w:val="52C50716"/>
    <w:rsid w:val="52CF41E8"/>
    <w:rsid w:val="52DB52FD"/>
    <w:rsid w:val="52DC4993"/>
    <w:rsid w:val="52E746EE"/>
    <w:rsid w:val="52EC4975"/>
    <w:rsid w:val="52F642BF"/>
    <w:rsid w:val="52F67142"/>
    <w:rsid w:val="52F70FBA"/>
    <w:rsid w:val="530804F5"/>
    <w:rsid w:val="53250E5A"/>
    <w:rsid w:val="53342657"/>
    <w:rsid w:val="534E0588"/>
    <w:rsid w:val="53533D68"/>
    <w:rsid w:val="53640E00"/>
    <w:rsid w:val="536F7331"/>
    <w:rsid w:val="537417A0"/>
    <w:rsid w:val="537477FA"/>
    <w:rsid w:val="53943EC5"/>
    <w:rsid w:val="53A02E31"/>
    <w:rsid w:val="53A25708"/>
    <w:rsid w:val="53B20987"/>
    <w:rsid w:val="53B61EB6"/>
    <w:rsid w:val="53C05A2A"/>
    <w:rsid w:val="53D11DB1"/>
    <w:rsid w:val="53D577D4"/>
    <w:rsid w:val="53D72E94"/>
    <w:rsid w:val="53DA605F"/>
    <w:rsid w:val="53E4121C"/>
    <w:rsid w:val="53EC2B31"/>
    <w:rsid w:val="53F05364"/>
    <w:rsid w:val="540F21BE"/>
    <w:rsid w:val="541B4773"/>
    <w:rsid w:val="541F4BD2"/>
    <w:rsid w:val="542127E0"/>
    <w:rsid w:val="54275947"/>
    <w:rsid w:val="54296790"/>
    <w:rsid w:val="54297599"/>
    <w:rsid w:val="54303C0B"/>
    <w:rsid w:val="54312CC8"/>
    <w:rsid w:val="543E2F1F"/>
    <w:rsid w:val="544C70E7"/>
    <w:rsid w:val="544D6BBE"/>
    <w:rsid w:val="545565A1"/>
    <w:rsid w:val="545F56B9"/>
    <w:rsid w:val="54620D56"/>
    <w:rsid w:val="54787CAD"/>
    <w:rsid w:val="5489248E"/>
    <w:rsid w:val="54906FB7"/>
    <w:rsid w:val="549B7E6E"/>
    <w:rsid w:val="54A52DAC"/>
    <w:rsid w:val="54A6722B"/>
    <w:rsid w:val="54AB3880"/>
    <w:rsid w:val="54B0008E"/>
    <w:rsid w:val="54BD190D"/>
    <w:rsid w:val="54C9247D"/>
    <w:rsid w:val="54CA23A0"/>
    <w:rsid w:val="54CD2027"/>
    <w:rsid w:val="54D52281"/>
    <w:rsid w:val="54DA1EC9"/>
    <w:rsid w:val="54E4148C"/>
    <w:rsid w:val="54F175CD"/>
    <w:rsid w:val="54F86EE6"/>
    <w:rsid w:val="550E4252"/>
    <w:rsid w:val="5512161A"/>
    <w:rsid w:val="55242A6A"/>
    <w:rsid w:val="55270A8F"/>
    <w:rsid w:val="55291F94"/>
    <w:rsid w:val="552F1C26"/>
    <w:rsid w:val="5536195A"/>
    <w:rsid w:val="553E5310"/>
    <w:rsid w:val="5544709D"/>
    <w:rsid w:val="55470886"/>
    <w:rsid w:val="554E25E6"/>
    <w:rsid w:val="5557610F"/>
    <w:rsid w:val="555D65E0"/>
    <w:rsid w:val="556906FB"/>
    <w:rsid w:val="556A202B"/>
    <w:rsid w:val="557821B0"/>
    <w:rsid w:val="557E1851"/>
    <w:rsid w:val="55860E87"/>
    <w:rsid w:val="559F369F"/>
    <w:rsid w:val="55A06469"/>
    <w:rsid w:val="55A1254A"/>
    <w:rsid w:val="55A133CC"/>
    <w:rsid w:val="55A723CA"/>
    <w:rsid w:val="55AC29A7"/>
    <w:rsid w:val="55AF2063"/>
    <w:rsid w:val="55B13F9B"/>
    <w:rsid w:val="55C200B3"/>
    <w:rsid w:val="55CD1D94"/>
    <w:rsid w:val="55DE3541"/>
    <w:rsid w:val="55E85158"/>
    <w:rsid w:val="55EB204B"/>
    <w:rsid w:val="55F9253B"/>
    <w:rsid w:val="56034097"/>
    <w:rsid w:val="56056413"/>
    <w:rsid w:val="56066F9E"/>
    <w:rsid w:val="560D6C4F"/>
    <w:rsid w:val="565C0EB4"/>
    <w:rsid w:val="56701729"/>
    <w:rsid w:val="56702CA3"/>
    <w:rsid w:val="56841B06"/>
    <w:rsid w:val="569612D4"/>
    <w:rsid w:val="569C58AC"/>
    <w:rsid w:val="569F2258"/>
    <w:rsid w:val="56A42D7A"/>
    <w:rsid w:val="56AC5ED0"/>
    <w:rsid w:val="56C22421"/>
    <w:rsid w:val="56C36F78"/>
    <w:rsid w:val="56CE3148"/>
    <w:rsid w:val="56DA1D2E"/>
    <w:rsid w:val="56F35790"/>
    <w:rsid w:val="56FD08DB"/>
    <w:rsid w:val="5706013F"/>
    <w:rsid w:val="5706053F"/>
    <w:rsid w:val="57080D76"/>
    <w:rsid w:val="570D1CEC"/>
    <w:rsid w:val="57122A24"/>
    <w:rsid w:val="571342F9"/>
    <w:rsid w:val="571516E2"/>
    <w:rsid w:val="5717709E"/>
    <w:rsid w:val="572312DA"/>
    <w:rsid w:val="572341FF"/>
    <w:rsid w:val="572467F4"/>
    <w:rsid w:val="5726457F"/>
    <w:rsid w:val="572B5180"/>
    <w:rsid w:val="572D0F79"/>
    <w:rsid w:val="573C66D7"/>
    <w:rsid w:val="574C43C6"/>
    <w:rsid w:val="5754101B"/>
    <w:rsid w:val="5768048A"/>
    <w:rsid w:val="576D057F"/>
    <w:rsid w:val="576F78E3"/>
    <w:rsid w:val="57726BDE"/>
    <w:rsid w:val="578215E2"/>
    <w:rsid w:val="579254D5"/>
    <w:rsid w:val="57996DF4"/>
    <w:rsid w:val="57A70478"/>
    <w:rsid w:val="57AD3521"/>
    <w:rsid w:val="57B84C2F"/>
    <w:rsid w:val="57D26822"/>
    <w:rsid w:val="57D91D4A"/>
    <w:rsid w:val="57DF3FB5"/>
    <w:rsid w:val="57E056CD"/>
    <w:rsid w:val="57E1537F"/>
    <w:rsid w:val="57F30276"/>
    <w:rsid w:val="57FC314B"/>
    <w:rsid w:val="580C5C09"/>
    <w:rsid w:val="58176713"/>
    <w:rsid w:val="581827FB"/>
    <w:rsid w:val="581F6999"/>
    <w:rsid w:val="585551F6"/>
    <w:rsid w:val="585C7971"/>
    <w:rsid w:val="58620F63"/>
    <w:rsid w:val="5874191C"/>
    <w:rsid w:val="58853FDA"/>
    <w:rsid w:val="588C7A9C"/>
    <w:rsid w:val="589F334C"/>
    <w:rsid w:val="58A0799B"/>
    <w:rsid w:val="58AA6037"/>
    <w:rsid w:val="58AB175F"/>
    <w:rsid w:val="58B86A7D"/>
    <w:rsid w:val="58E14CF5"/>
    <w:rsid w:val="58E96D46"/>
    <w:rsid w:val="590308F1"/>
    <w:rsid w:val="5912120B"/>
    <w:rsid w:val="59164C67"/>
    <w:rsid w:val="592177FC"/>
    <w:rsid w:val="594C08C5"/>
    <w:rsid w:val="59510834"/>
    <w:rsid w:val="59601FF5"/>
    <w:rsid w:val="59607284"/>
    <w:rsid w:val="59765EA8"/>
    <w:rsid w:val="59826597"/>
    <w:rsid w:val="598C189A"/>
    <w:rsid w:val="598C5A0F"/>
    <w:rsid w:val="598F30CA"/>
    <w:rsid w:val="59996DA9"/>
    <w:rsid w:val="59A10533"/>
    <w:rsid w:val="59AC79C1"/>
    <w:rsid w:val="59B27090"/>
    <w:rsid w:val="59B55F44"/>
    <w:rsid w:val="59BC6BA7"/>
    <w:rsid w:val="59C169F9"/>
    <w:rsid w:val="59C5056A"/>
    <w:rsid w:val="59CC02CB"/>
    <w:rsid w:val="59CE0B0F"/>
    <w:rsid w:val="59D7026D"/>
    <w:rsid w:val="59D84247"/>
    <w:rsid w:val="59D87FB1"/>
    <w:rsid w:val="59E809F6"/>
    <w:rsid w:val="59EE3ABD"/>
    <w:rsid w:val="59F335EB"/>
    <w:rsid w:val="5A0F7D22"/>
    <w:rsid w:val="5A122B03"/>
    <w:rsid w:val="5A142930"/>
    <w:rsid w:val="5A1C2A4F"/>
    <w:rsid w:val="5A1E47E1"/>
    <w:rsid w:val="5A1F5929"/>
    <w:rsid w:val="5A413C03"/>
    <w:rsid w:val="5A445162"/>
    <w:rsid w:val="5A4C4B68"/>
    <w:rsid w:val="5A557173"/>
    <w:rsid w:val="5A5C7E2E"/>
    <w:rsid w:val="5A705B3D"/>
    <w:rsid w:val="5A721994"/>
    <w:rsid w:val="5A7C5126"/>
    <w:rsid w:val="5A7D61B6"/>
    <w:rsid w:val="5A855760"/>
    <w:rsid w:val="5A892F0E"/>
    <w:rsid w:val="5A9011C0"/>
    <w:rsid w:val="5A927B87"/>
    <w:rsid w:val="5A963A68"/>
    <w:rsid w:val="5A971A00"/>
    <w:rsid w:val="5A9B4B77"/>
    <w:rsid w:val="5A9F7CED"/>
    <w:rsid w:val="5AA1377D"/>
    <w:rsid w:val="5AA43347"/>
    <w:rsid w:val="5AA63755"/>
    <w:rsid w:val="5AAA16B8"/>
    <w:rsid w:val="5AAE0A6F"/>
    <w:rsid w:val="5AB52CFE"/>
    <w:rsid w:val="5ACD024F"/>
    <w:rsid w:val="5ACF0318"/>
    <w:rsid w:val="5ADA6A1A"/>
    <w:rsid w:val="5ADF2C22"/>
    <w:rsid w:val="5AF50889"/>
    <w:rsid w:val="5AFD24BC"/>
    <w:rsid w:val="5B030BF9"/>
    <w:rsid w:val="5B0C0A05"/>
    <w:rsid w:val="5B1134F5"/>
    <w:rsid w:val="5B1C1330"/>
    <w:rsid w:val="5B1F4CF7"/>
    <w:rsid w:val="5B3175F5"/>
    <w:rsid w:val="5B604CDF"/>
    <w:rsid w:val="5B735FF0"/>
    <w:rsid w:val="5B7948CC"/>
    <w:rsid w:val="5B7A3D7D"/>
    <w:rsid w:val="5B81783B"/>
    <w:rsid w:val="5B836749"/>
    <w:rsid w:val="5B86544E"/>
    <w:rsid w:val="5B87196B"/>
    <w:rsid w:val="5B8F350B"/>
    <w:rsid w:val="5B943145"/>
    <w:rsid w:val="5B9C0AB8"/>
    <w:rsid w:val="5BA8657A"/>
    <w:rsid w:val="5BB5241F"/>
    <w:rsid w:val="5BB65ECE"/>
    <w:rsid w:val="5BCD736F"/>
    <w:rsid w:val="5BD22875"/>
    <w:rsid w:val="5BD30DD9"/>
    <w:rsid w:val="5BD7150F"/>
    <w:rsid w:val="5BDF7534"/>
    <w:rsid w:val="5BEC2ABA"/>
    <w:rsid w:val="5BEE3A39"/>
    <w:rsid w:val="5BF97E0E"/>
    <w:rsid w:val="5BFD3B7C"/>
    <w:rsid w:val="5C0346F9"/>
    <w:rsid w:val="5C0D5222"/>
    <w:rsid w:val="5C20062E"/>
    <w:rsid w:val="5C241FE4"/>
    <w:rsid w:val="5C3C2A13"/>
    <w:rsid w:val="5C43267B"/>
    <w:rsid w:val="5C4D01C3"/>
    <w:rsid w:val="5C5B5829"/>
    <w:rsid w:val="5C5C368B"/>
    <w:rsid w:val="5C646A2F"/>
    <w:rsid w:val="5C6C6BEE"/>
    <w:rsid w:val="5C6D6368"/>
    <w:rsid w:val="5C721A44"/>
    <w:rsid w:val="5C732128"/>
    <w:rsid w:val="5C793DB9"/>
    <w:rsid w:val="5C835977"/>
    <w:rsid w:val="5C87750A"/>
    <w:rsid w:val="5C8E4B31"/>
    <w:rsid w:val="5C9942C0"/>
    <w:rsid w:val="5C9F2E73"/>
    <w:rsid w:val="5C9F505D"/>
    <w:rsid w:val="5CA8185D"/>
    <w:rsid w:val="5CA94DF7"/>
    <w:rsid w:val="5CB66940"/>
    <w:rsid w:val="5CC93B10"/>
    <w:rsid w:val="5CD00AAC"/>
    <w:rsid w:val="5CD06D65"/>
    <w:rsid w:val="5CDE4D32"/>
    <w:rsid w:val="5D0576FB"/>
    <w:rsid w:val="5D0F7713"/>
    <w:rsid w:val="5D0F79D5"/>
    <w:rsid w:val="5D1A5E38"/>
    <w:rsid w:val="5D1E23A3"/>
    <w:rsid w:val="5D1E2984"/>
    <w:rsid w:val="5D2075CD"/>
    <w:rsid w:val="5D230391"/>
    <w:rsid w:val="5D2D0D77"/>
    <w:rsid w:val="5D3022EB"/>
    <w:rsid w:val="5D314E09"/>
    <w:rsid w:val="5D3B7140"/>
    <w:rsid w:val="5D42534E"/>
    <w:rsid w:val="5D4A7AC5"/>
    <w:rsid w:val="5D5572D2"/>
    <w:rsid w:val="5D5B1D99"/>
    <w:rsid w:val="5D752C41"/>
    <w:rsid w:val="5D786332"/>
    <w:rsid w:val="5D7D67B1"/>
    <w:rsid w:val="5D8727E5"/>
    <w:rsid w:val="5D923BAB"/>
    <w:rsid w:val="5DA51F18"/>
    <w:rsid w:val="5DD11921"/>
    <w:rsid w:val="5DD224D9"/>
    <w:rsid w:val="5DE278B1"/>
    <w:rsid w:val="5DEF1523"/>
    <w:rsid w:val="5DF617F0"/>
    <w:rsid w:val="5E116777"/>
    <w:rsid w:val="5E236C8D"/>
    <w:rsid w:val="5E274DCC"/>
    <w:rsid w:val="5E3F47F3"/>
    <w:rsid w:val="5E55116E"/>
    <w:rsid w:val="5E595F4C"/>
    <w:rsid w:val="5E5C50BF"/>
    <w:rsid w:val="5E6425BF"/>
    <w:rsid w:val="5E65717E"/>
    <w:rsid w:val="5E7B58EC"/>
    <w:rsid w:val="5E7E23E2"/>
    <w:rsid w:val="5E7F0949"/>
    <w:rsid w:val="5E8A4453"/>
    <w:rsid w:val="5E9D6C6F"/>
    <w:rsid w:val="5EAA0B37"/>
    <w:rsid w:val="5EC32768"/>
    <w:rsid w:val="5EC94197"/>
    <w:rsid w:val="5ED17E65"/>
    <w:rsid w:val="5EE0784A"/>
    <w:rsid w:val="5EE55DCB"/>
    <w:rsid w:val="5EE926E9"/>
    <w:rsid w:val="5EE97588"/>
    <w:rsid w:val="5EF20148"/>
    <w:rsid w:val="5F0A0081"/>
    <w:rsid w:val="5F141F50"/>
    <w:rsid w:val="5F1C7A1F"/>
    <w:rsid w:val="5F227206"/>
    <w:rsid w:val="5F341FF4"/>
    <w:rsid w:val="5F397D45"/>
    <w:rsid w:val="5F4B313B"/>
    <w:rsid w:val="5F4F5621"/>
    <w:rsid w:val="5F511BB1"/>
    <w:rsid w:val="5F5775AA"/>
    <w:rsid w:val="5F6A6C69"/>
    <w:rsid w:val="5F6D47BA"/>
    <w:rsid w:val="5F6E2DCA"/>
    <w:rsid w:val="5F8A282E"/>
    <w:rsid w:val="5F9E7BB8"/>
    <w:rsid w:val="5FB07AF0"/>
    <w:rsid w:val="5FC91D85"/>
    <w:rsid w:val="5FD81B05"/>
    <w:rsid w:val="5FD90E7D"/>
    <w:rsid w:val="5FF6336B"/>
    <w:rsid w:val="5FFB5E04"/>
    <w:rsid w:val="60185C59"/>
    <w:rsid w:val="60192CF8"/>
    <w:rsid w:val="601D2F02"/>
    <w:rsid w:val="603A3035"/>
    <w:rsid w:val="603B60D9"/>
    <w:rsid w:val="6058188D"/>
    <w:rsid w:val="6063674F"/>
    <w:rsid w:val="607E5C31"/>
    <w:rsid w:val="60AC1F87"/>
    <w:rsid w:val="60AC2592"/>
    <w:rsid w:val="60B37578"/>
    <w:rsid w:val="60BE5EA9"/>
    <w:rsid w:val="60D00471"/>
    <w:rsid w:val="60D30954"/>
    <w:rsid w:val="60DC14CC"/>
    <w:rsid w:val="60E0503B"/>
    <w:rsid w:val="60F633E9"/>
    <w:rsid w:val="60FF1406"/>
    <w:rsid w:val="612400B1"/>
    <w:rsid w:val="612537AE"/>
    <w:rsid w:val="61297814"/>
    <w:rsid w:val="613040B4"/>
    <w:rsid w:val="61314A3A"/>
    <w:rsid w:val="6141098D"/>
    <w:rsid w:val="61452F5E"/>
    <w:rsid w:val="61531DB2"/>
    <w:rsid w:val="615354A9"/>
    <w:rsid w:val="615833A3"/>
    <w:rsid w:val="61727C85"/>
    <w:rsid w:val="619448FF"/>
    <w:rsid w:val="619E07F5"/>
    <w:rsid w:val="61A575A0"/>
    <w:rsid w:val="61C806A8"/>
    <w:rsid w:val="61D72E2B"/>
    <w:rsid w:val="61DF2556"/>
    <w:rsid w:val="61E11CAD"/>
    <w:rsid w:val="62147FBB"/>
    <w:rsid w:val="62226684"/>
    <w:rsid w:val="62271C37"/>
    <w:rsid w:val="622C2057"/>
    <w:rsid w:val="622E58C5"/>
    <w:rsid w:val="626A0E6E"/>
    <w:rsid w:val="626E0583"/>
    <w:rsid w:val="627403C2"/>
    <w:rsid w:val="628140A6"/>
    <w:rsid w:val="62890AE8"/>
    <w:rsid w:val="628E1794"/>
    <w:rsid w:val="628E328B"/>
    <w:rsid w:val="629973BF"/>
    <w:rsid w:val="62A56970"/>
    <w:rsid w:val="62B32CEF"/>
    <w:rsid w:val="62BE511E"/>
    <w:rsid w:val="62F30A7A"/>
    <w:rsid w:val="62F3165E"/>
    <w:rsid w:val="630E2608"/>
    <w:rsid w:val="631E222D"/>
    <w:rsid w:val="63313EBB"/>
    <w:rsid w:val="6352647D"/>
    <w:rsid w:val="636076E3"/>
    <w:rsid w:val="636E5C34"/>
    <w:rsid w:val="637E0327"/>
    <w:rsid w:val="638D474D"/>
    <w:rsid w:val="6398005F"/>
    <w:rsid w:val="639B0953"/>
    <w:rsid w:val="639B3553"/>
    <w:rsid w:val="639E1342"/>
    <w:rsid w:val="63AD1985"/>
    <w:rsid w:val="63B27C01"/>
    <w:rsid w:val="63BD1CE7"/>
    <w:rsid w:val="63BE18E0"/>
    <w:rsid w:val="63BF3281"/>
    <w:rsid w:val="63C630D7"/>
    <w:rsid w:val="63D74E9F"/>
    <w:rsid w:val="63DB4276"/>
    <w:rsid w:val="63DE4354"/>
    <w:rsid w:val="63E741D8"/>
    <w:rsid w:val="63ED74DE"/>
    <w:rsid w:val="63F459FC"/>
    <w:rsid w:val="63F501CD"/>
    <w:rsid w:val="63F5766C"/>
    <w:rsid w:val="64071787"/>
    <w:rsid w:val="640A4139"/>
    <w:rsid w:val="640A5372"/>
    <w:rsid w:val="640D382E"/>
    <w:rsid w:val="640D4527"/>
    <w:rsid w:val="640E495E"/>
    <w:rsid w:val="64133010"/>
    <w:rsid w:val="641C50A9"/>
    <w:rsid w:val="642A67B5"/>
    <w:rsid w:val="642E7CA6"/>
    <w:rsid w:val="64357417"/>
    <w:rsid w:val="643914E5"/>
    <w:rsid w:val="643B30D4"/>
    <w:rsid w:val="64526164"/>
    <w:rsid w:val="64595051"/>
    <w:rsid w:val="645A28E2"/>
    <w:rsid w:val="645E59AD"/>
    <w:rsid w:val="64605BF5"/>
    <w:rsid w:val="64671409"/>
    <w:rsid w:val="646D53B5"/>
    <w:rsid w:val="64701DBB"/>
    <w:rsid w:val="64825DAA"/>
    <w:rsid w:val="64956C03"/>
    <w:rsid w:val="64A67BDA"/>
    <w:rsid w:val="64D842F8"/>
    <w:rsid w:val="64E2162B"/>
    <w:rsid w:val="64E30C60"/>
    <w:rsid w:val="64E81568"/>
    <w:rsid w:val="64FB18D3"/>
    <w:rsid w:val="64FD5601"/>
    <w:rsid w:val="650440FD"/>
    <w:rsid w:val="650613CD"/>
    <w:rsid w:val="65074D08"/>
    <w:rsid w:val="650E6BF3"/>
    <w:rsid w:val="6514292A"/>
    <w:rsid w:val="6518208F"/>
    <w:rsid w:val="65196556"/>
    <w:rsid w:val="6522710F"/>
    <w:rsid w:val="653D4102"/>
    <w:rsid w:val="65454B28"/>
    <w:rsid w:val="656A49DB"/>
    <w:rsid w:val="656A4C15"/>
    <w:rsid w:val="656E38CA"/>
    <w:rsid w:val="657A64BB"/>
    <w:rsid w:val="657F727A"/>
    <w:rsid w:val="6586068A"/>
    <w:rsid w:val="659324AD"/>
    <w:rsid w:val="65933814"/>
    <w:rsid w:val="65A92399"/>
    <w:rsid w:val="65AC519A"/>
    <w:rsid w:val="65C17E46"/>
    <w:rsid w:val="65CB63F8"/>
    <w:rsid w:val="65E62049"/>
    <w:rsid w:val="65E66712"/>
    <w:rsid w:val="65F51B70"/>
    <w:rsid w:val="66081FE4"/>
    <w:rsid w:val="660C6FF1"/>
    <w:rsid w:val="66220776"/>
    <w:rsid w:val="662373B1"/>
    <w:rsid w:val="66371620"/>
    <w:rsid w:val="663D08BC"/>
    <w:rsid w:val="66440A25"/>
    <w:rsid w:val="66516149"/>
    <w:rsid w:val="665937E3"/>
    <w:rsid w:val="666310EF"/>
    <w:rsid w:val="66783160"/>
    <w:rsid w:val="669C4BE2"/>
    <w:rsid w:val="66A37746"/>
    <w:rsid w:val="66A80DB6"/>
    <w:rsid w:val="66AC74F5"/>
    <w:rsid w:val="66AD4091"/>
    <w:rsid w:val="66B036AA"/>
    <w:rsid w:val="66DE3D5A"/>
    <w:rsid w:val="66F824FD"/>
    <w:rsid w:val="66F84618"/>
    <w:rsid w:val="67014207"/>
    <w:rsid w:val="67065369"/>
    <w:rsid w:val="672002B4"/>
    <w:rsid w:val="672E2721"/>
    <w:rsid w:val="672F0BDE"/>
    <w:rsid w:val="674B2564"/>
    <w:rsid w:val="67576C8D"/>
    <w:rsid w:val="675E49E5"/>
    <w:rsid w:val="67767C08"/>
    <w:rsid w:val="67882F0A"/>
    <w:rsid w:val="67890635"/>
    <w:rsid w:val="67913AF7"/>
    <w:rsid w:val="679C1395"/>
    <w:rsid w:val="679C7620"/>
    <w:rsid w:val="679E76E8"/>
    <w:rsid w:val="67A01D36"/>
    <w:rsid w:val="67B4221B"/>
    <w:rsid w:val="67B86043"/>
    <w:rsid w:val="67BC0790"/>
    <w:rsid w:val="67C06261"/>
    <w:rsid w:val="67CF7B37"/>
    <w:rsid w:val="67D0344D"/>
    <w:rsid w:val="67D445C9"/>
    <w:rsid w:val="67DC2270"/>
    <w:rsid w:val="67EA1CBE"/>
    <w:rsid w:val="67EB4052"/>
    <w:rsid w:val="67EC26FF"/>
    <w:rsid w:val="67F23972"/>
    <w:rsid w:val="67FA0C15"/>
    <w:rsid w:val="680D2711"/>
    <w:rsid w:val="681A1A26"/>
    <w:rsid w:val="6821479D"/>
    <w:rsid w:val="682839A5"/>
    <w:rsid w:val="682A5E67"/>
    <w:rsid w:val="682C5482"/>
    <w:rsid w:val="68367249"/>
    <w:rsid w:val="68374713"/>
    <w:rsid w:val="684F7671"/>
    <w:rsid w:val="685B3DBC"/>
    <w:rsid w:val="686C4CA7"/>
    <w:rsid w:val="688E6B42"/>
    <w:rsid w:val="689046D8"/>
    <w:rsid w:val="689C19A7"/>
    <w:rsid w:val="68A04824"/>
    <w:rsid w:val="68A27318"/>
    <w:rsid w:val="68B83FCD"/>
    <w:rsid w:val="68BC5D09"/>
    <w:rsid w:val="68BF0A03"/>
    <w:rsid w:val="68C40153"/>
    <w:rsid w:val="68C512EC"/>
    <w:rsid w:val="68C61FAA"/>
    <w:rsid w:val="68CC79AF"/>
    <w:rsid w:val="68CD3FED"/>
    <w:rsid w:val="68CE39B4"/>
    <w:rsid w:val="68D13AA5"/>
    <w:rsid w:val="68D47271"/>
    <w:rsid w:val="68DB58B3"/>
    <w:rsid w:val="68F87F8E"/>
    <w:rsid w:val="68FA7858"/>
    <w:rsid w:val="69017ACE"/>
    <w:rsid w:val="690D79E8"/>
    <w:rsid w:val="69144CC0"/>
    <w:rsid w:val="691819E0"/>
    <w:rsid w:val="691F0694"/>
    <w:rsid w:val="6928006E"/>
    <w:rsid w:val="693A48DC"/>
    <w:rsid w:val="693D196D"/>
    <w:rsid w:val="694D60F6"/>
    <w:rsid w:val="69637FF4"/>
    <w:rsid w:val="69650C1F"/>
    <w:rsid w:val="69683388"/>
    <w:rsid w:val="69744451"/>
    <w:rsid w:val="69812368"/>
    <w:rsid w:val="698F102A"/>
    <w:rsid w:val="699A3830"/>
    <w:rsid w:val="69C35137"/>
    <w:rsid w:val="69CF6FFA"/>
    <w:rsid w:val="69D129B7"/>
    <w:rsid w:val="69D271BF"/>
    <w:rsid w:val="69D44DC7"/>
    <w:rsid w:val="69E33811"/>
    <w:rsid w:val="69E678C6"/>
    <w:rsid w:val="69E83505"/>
    <w:rsid w:val="69E92D8D"/>
    <w:rsid w:val="69FF0DD3"/>
    <w:rsid w:val="6A0C47A8"/>
    <w:rsid w:val="6A1A7606"/>
    <w:rsid w:val="6A2229ED"/>
    <w:rsid w:val="6A3D2D19"/>
    <w:rsid w:val="6A755D81"/>
    <w:rsid w:val="6A763C2C"/>
    <w:rsid w:val="6A8022B0"/>
    <w:rsid w:val="6A843A8E"/>
    <w:rsid w:val="6A861B39"/>
    <w:rsid w:val="6A8A3413"/>
    <w:rsid w:val="6A912590"/>
    <w:rsid w:val="6A917224"/>
    <w:rsid w:val="6A9668E4"/>
    <w:rsid w:val="6A9C62FC"/>
    <w:rsid w:val="6A9F4252"/>
    <w:rsid w:val="6AA60058"/>
    <w:rsid w:val="6AA866BA"/>
    <w:rsid w:val="6AB774CE"/>
    <w:rsid w:val="6ABD3EE1"/>
    <w:rsid w:val="6ACB471C"/>
    <w:rsid w:val="6ACC00F1"/>
    <w:rsid w:val="6AD301C7"/>
    <w:rsid w:val="6ADA2E7B"/>
    <w:rsid w:val="6ADD40C5"/>
    <w:rsid w:val="6AE73A98"/>
    <w:rsid w:val="6AF152BF"/>
    <w:rsid w:val="6AFC0248"/>
    <w:rsid w:val="6AFC55FA"/>
    <w:rsid w:val="6B115076"/>
    <w:rsid w:val="6B15491F"/>
    <w:rsid w:val="6B1726BA"/>
    <w:rsid w:val="6B396230"/>
    <w:rsid w:val="6B5F76FC"/>
    <w:rsid w:val="6B6E3E88"/>
    <w:rsid w:val="6B785B87"/>
    <w:rsid w:val="6B8A30B6"/>
    <w:rsid w:val="6B936FB3"/>
    <w:rsid w:val="6B9375DA"/>
    <w:rsid w:val="6B9B52D9"/>
    <w:rsid w:val="6BA32A9A"/>
    <w:rsid w:val="6BA76870"/>
    <w:rsid w:val="6BBA6C5C"/>
    <w:rsid w:val="6BCE7DBE"/>
    <w:rsid w:val="6BD53BA1"/>
    <w:rsid w:val="6BD82EF3"/>
    <w:rsid w:val="6BDE7973"/>
    <w:rsid w:val="6BE04795"/>
    <w:rsid w:val="6BE65745"/>
    <w:rsid w:val="6BE912C0"/>
    <w:rsid w:val="6BEF1695"/>
    <w:rsid w:val="6BFD3F60"/>
    <w:rsid w:val="6C080388"/>
    <w:rsid w:val="6C3001FD"/>
    <w:rsid w:val="6C365A73"/>
    <w:rsid w:val="6C4074E6"/>
    <w:rsid w:val="6C410C00"/>
    <w:rsid w:val="6C5373F3"/>
    <w:rsid w:val="6C5C1842"/>
    <w:rsid w:val="6C6667F4"/>
    <w:rsid w:val="6C787E50"/>
    <w:rsid w:val="6C7B102A"/>
    <w:rsid w:val="6C7C6C3F"/>
    <w:rsid w:val="6C7C787B"/>
    <w:rsid w:val="6C7D2FC6"/>
    <w:rsid w:val="6C8064E6"/>
    <w:rsid w:val="6C8665DA"/>
    <w:rsid w:val="6C8D532E"/>
    <w:rsid w:val="6C91192B"/>
    <w:rsid w:val="6C9E700E"/>
    <w:rsid w:val="6CA155DB"/>
    <w:rsid w:val="6CC43B00"/>
    <w:rsid w:val="6CC44392"/>
    <w:rsid w:val="6CCE108A"/>
    <w:rsid w:val="6CD450E0"/>
    <w:rsid w:val="6CD55849"/>
    <w:rsid w:val="6CED5377"/>
    <w:rsid w:val="6CEF7C48"/>
    <w:rsid w:val="6CF94688"/>
    <w:rsid w:val="6CFB34EE"/>
    <w:rsid w:val="6D000E28"/>
    <w:rsid w:val="6D0C719F"/>
    <w:rsid w:val="6D2530AD"/>
    <w:rsid w:val="6D2E0652"/>
    <w:rsid w:val="6D3E131B"/>
    <w:rsid w:val="6D3E26F9"/>
    <w:rsid w:val="6D423A52"/>
    <w:rsid w:val="6D483A54"/>
    <w:rsid w:val="6D5118E8"/>
    <w:rsid w:val="6D573F20"/>
    <w:rsid w:val="6D5C2A44"/>
    <w:rsid w:val="6D5E3CE3"/>
    <w:rsid w:val="6D671D25"/>
    <w:rsid w:val="6D6856E5"/>
    <w:rsid w:val="6D6B17E5"/>
    <w:rsid w:val="6D735BE4"/>
    <w:rsid w:val="6D7F5EC2"/>
    <w:rsid w:val="6D8B4B30"/>
    <w:rsid w:val="6D904F42"/>
    <w:rsid w:val="6D9715BD"/>
    <w:rsid w:val="6DA4731F"/>
    <w:rsid w:val="6DB13D2D"/>
    <w:rsid w:val="6DB2311B"/>
    <w:rsid w:val="6DBC3827"/>
    <w:rsid w:val="6DEE0BCD"/>
    <w:rsid w:val="6DF53564"/>
    <w:rsid w:val="6DF5617C"/>
    <w:rsid w:val="6DFD0284"/>
    <w:rsid w:val="6E0A7DDD"/>
    <w:rsid w:val="6E0D3544"/>
    <w:rsid w:val="6E1022F0"/>
    <w:rsid w:val="6E1C37FD"/>
    <w:rsid w:val="6E1E312F"/>
    <w:rsid w:val="6E204D42"/>
    <w:rsid w:val="6E2A0E29"/>
    <w:rsid w:val="6E2B6E8E"/>
    <w:rsid w:val="6E326006"/>
    <w:rsid w:val="6E3E2AAF"/>
    <w:rsid w:val="6E3F1EC0"/>
    <w:rsid w:val="6E5543E8"/>
    <w:rsid w:val="6E5F7C58"/>
    <w:rsid w:val="6E6F53F4"/>
    <w:rsid w:val="6E7B7BAA"/>
    <w:rsid w:val="6E831286"/>
    <w:rsid w:val="6E8668BA"/>
    <w:rsid w:val="6E96597A"/>
    <w:rsid w:val="6E9A4712"/>
    <w:rsid w:val="6EAF7C2E"/>
    <w:rsid w:val="6EC34399"/>
    <w:rsid w:val="6ECA2C6F"/>
    <w:rsid w:val="6ECF657F"/>
    <w:rsid w:val="6EE34E5E"/>
    <w:rsid w:val="6EE76820"/>
    <w:rsid w:val="6EEC5463"/>
    <w:rsid w:val="6EED1449"/>
    <w:rsid w:val="6F0309EC"/>
    <w:rsid w:val="6F0313A7"/>
    <w:rsid w:val="6F0C5AD3"/>
    <w:rsid w:val="6F255F77"/>
    <w:rsid w:val="6F26731D"/>
    <w:rsid w:val="6F291F3C"/>
    <w:rsid w:val="6F3C2421"/>
    <w:rsid w:val="6F4833BA"/>
    <w:rsid w:val="6F4B5873"/>
    <w:rsid w:val="6F507CA6"/>
    <w:rsid w:val="6F5658FF"/>
    <w:rsid w:val="6F5F15A1"/>
    <w:rsid w:val="6F631E53"/>
    <w:rsid w:val="6F803C30"/>
    <w:rsid w:val="6F8B7E6D"/>
    <w:rsid w:val="6FA2172F"/>
    <w:rsid w:val="6FAD7B1E"/>
    <w:rsid w:val="6FB83BD1"/>
    <w:rsid w:val="6FC53A0A"/>
    <w:rsid w:val="6FE65CA0"/>
    <w:rsid w:val="6FEA320D"/>
    <w:rsid w:val="6FFC3729"/>
    <w:rsid w:val="6FFE5087"/>
    <w:rsid w:val="70071EB3"/>
    <w:rsid w:val="7017077B"/>
    <w:rsid w:val="701A7105"/>
    <w:rsid w:val="701C6D15"/>
    <w:rsid w:val="701D3556"/>
    <w:rsid w:val="701F43FF"/>
    <w:rsid w:val="703B3CDC"/>
    <w:rsid w:val="703D01FC"/>
    <w:rsid w:val="704010C3"/>
    <w:rsid w:val="7041576B"/>
    <w:rsid w:val="704548A7"/>
    <w:rsid w:val="705A4DC4"/>
    <w:rsid w:val="70647078"/>
    <w:rsid w:val="706732C1"/>
    <w:rsid w:val="706E7317"/>
    <w:rsid w:val="70845523"/>
    <w:rsid w:val="7084764A"/>
    <w:rsid w:val="70854A38"/>
    <w:rsid w:val="708723E6"/>
    <w:rsid w:val="708A2370"/>
    <w:rsid w:val="7095059B"/>
    <w:rsid w:val="70B418A7"/>
    <w:rsid w:val="70BC4224"/>
    <w:rsid w:val="70CA4F5A"/>
    <w:rsid w:val="70CB50D0"/>
    <w:rsid w:val="70DF6880"/>
    <w:rsid w:val="7110058F"/>
    <w:rsid w:val="71220E1E"/>
    <w:rsid w:val="712951F3"/>
    <w:rsid w:val="712A132D"/>
    <w:rsid w:val="713629C2"/>
    <w:rsid w:val="713C3EBC"/>
    <w:rsid w:val="714F69ED"/>
    <w:rsid w:val="716727F7"/>
    <w:rsid w:val="716F3D5E"/>
    <w:rsid w:val="7170513A"/>
    <w:rsid w:val="718A1659"/>
    <w:rsid w:val="719A2895"/>
    <w:rsid w:val="71AD46A4"/>
    <w:rsid w:val="71B61B1C"/>
    <w:rsid w:val="71C73545"/>
    <w:rsid w:val="71CD2219"/>
    <w:rsid w:val="71CD72E1"/>
    <w:rsid w:val="71D61FC3"/>
    <w:rsid w:val="71DA6848"/>
    <w:rsid w:val="71FC7B13"/>
    <w:rsid w:val="71FD52C7"/>
    <w:rsid w:val="72004364"/>
    <w:rsid w:val="720517C5"/>
    <w:rsid w:val="721106DE"/>
    <w:rsid w:val="722E114C"/>
    <w:rsid w:val="723C2C6B"/>
    <w:rsid w:val="72526494"/>
    <w:rsid w:val="72533B35"/>
    <w:rsid w:val="726F1B71"/>
    <w:rsid w:val="727F11D0"/>
    <w:rsid w:val="72A64B0C"/>
    <w:rsid w:val="72A6598D"/>
    <w:rsid w:val="72AF099E"/>
    <w:rsid w:val="72BA21EC"/>
    <w:rsid w:val="72BE210D"/>
    <w:rsid w:val="72C12700"/>
    <w:rsid w:val="72C3290F"/>
    <w:rsid w:val="72D96C84"/>
    <w:rsid w:val="72E351D9"/>
    <w:rsid w:val="72FA48DE"/>
    <w:rsid w:val="72FF12F4"/>
    <w:rsid w:val="72FF3C61"/>
    <w:rsid w:val="72FF6EFE"/>
    <w:rsid w:val="73027750"/>
    <w:rsid w:val="730B5BE0"/>
    <w:rsid w:val="730E16F5"/>
    <w:rsid w:val="73136D7C"/>
    <w:rsid w:val="73142D7C"/>
    <w:rsid w:val="7320068E"/>
    <w:rsid w:val="7322413B"/>
    <w:rsid w:val="73234271"/>
    <w:rsid w:val="7335128C"/>
    <w:rsid w:val="733E26F2"/>
    <w:rsid w:val="7344665E"/>
    <w:rsid w:val="7358637A"/>
    <w:rsid w:val="73862281"/>
    <w:rsid w:val="73A27C94"/>
    <w:rsid w:val="73A4050B"/>
    <w:rsid w:val="73B6796A"/>
    <w:rsid w:val="73BC00A5"/>
    <w:rsid w:val="73C270AA"/>
    <w:rsid w:val="73C42DC8"/>
    <w:rsid w:val="73C720FE"/>
    <w:rsid w:val="73CC1F97"/>
    <w:rsid w:val="73D078A6"/>
    <w:rsid w:val="73DC3B42"/>
    <w:rsid w:val="73E70279"/>
    <w:rsid w:val="73F32AC4"/>
    <w:rsid w:val="74060A6D"/>
    <w:rsid w:val="741B0110"/>
    <w:rsid w:val="741F4133"/>
    <w:rsid w:val="7426232E"/>
    <w:rsid w:val="743C4319"/>
    <w:rsid w:val="744A5EA4"/>
    <w:rsid w:val="745D0C05"/>
    <w:rsid w:val="746C4DEF"/>
    <w:rsid w:val="74991692"/>
    <w:rsid w:val="749B7992"/>
    <w:rsid w:val="749E4CF0"/>
    <w:rsid w:val="74A57094"/>
    <w:rsid w:val="74AB5407"/>
    <w:rsid w:val="74CB2099"/>
    <w:rsid w:val="74D419D6"/>
    <w:rsid w:val="74D9778D"/>
    <w:rsid w:val="74DE35DB"/>
    <w:rsid w:val="74EB460F"/>
    <w:rsid w:val="74F03233"/>
    <w:rsid w:val="74F6043A"/>
    <w:rsid w:val="74FA4A50"/>
    <w:rsid w:val="75062CD8"/>
    <w:rsid w:val="75077D81"/>
    <w:rsid w:val="75094C65"/>
    <w:rsid w:val="753379B0"/>
    <w:rsid w:val="75372CE8"/>
    <w:rsid w:val="754F567A"/>
    <w:rsid w:val="756103A4"/>
    <w:rsid w:val="756D06E2"/>
    <w:rsid w:val="7577308C"/>
    <w:rsid w:val="7587038F"/>
    <w:rsid w:val="75A0318F"/>
    <w:rsid w:val="75B52F82"/>
    <w:rsid w:val="75B82788"/>
    <w:rsid w:val="75BE79E3"/>
    <w:rsid w:val="75C12D2B"/>
    <w:rsid w:val="75D7160B"/>
    <w:rsid w:val="75DB19B2"/>
    <w:rsid w:val="75DD687C"/>
    <w:rsid w:val="75EE2E9A"/>
    <w:rsid w:val="75F426A1"/>
    <w:rsid w:val="75FD5F11"/>
    <w:rsid w:val="76130820"/>
    <w:rsid w:val="761B7FB5"/>
    <w:rsid w:val="761E7649"/>
    <w:rsid w:val="7623366B"/>
    <w:rsid w:val="762B0082"/>
    <w:rsid w:val="763B67EB"/>
    <w:rsid w:val="763F46B4"/>
    <w:rsid w:val="76532D0C"/>
    <w:rsid w:val="765A64B9"/>
    <w:rsid w:val="76797E02"/>
    <w:rsid w:val="768F0A9C"/>
    <w:rsid w:val="7696022E"/>
    <w:rsid w:val="769F3400"/>
    <w:rsid w:val="76A97E80"/>
    <w:rsid w:val="76AA64E6"/>
    <w:rsid w:val="76AC6733"/>
    <w:rsid w:val="76AD042D"/>
    <w:rsid w:val="76B0727F"/>
    <w:rsid w:val="76B540DB"/>
    <w:rsid w:val="76B6330F"/>
    <w:rsid w:val="76B84A6B"/>
    <w:rsid w:val="76C46139"/>
    <w:rsid w:val="76D171BB"/>
    <w:rsid w:val="76E039E1"/>
    <w:rsid w:val="76E26FB6"/>
    <w:rsid w:val="76F2395E"/>
    <w:rsid w:val="76F31266"/>
    <w:rsid w:val="77000FA8"/>
    <w:rsid w:val="77040D4E"/>
    <w:rsid w:val="77063A55"/>
    <w:rsid w:val="771071FF"/>
    <w:rsid w:val="77201F5A"/>
    <w:rsid w:val="772D539D"/>
    <w:rsid w:val="7738552A"/>
    <w:rsid w:val="77416220"/>
    <w:rsid w:val="77485F97"/>
    <w:rsid w:val="77500692"/>
    <w:rsid w:val="77530EC3"/>
    <w:rsid w:val="7758275A"/>
    <w:rsid w:val="777E7888"/>
    <w:rsid w:val="778271A2"/>
    <w:rsid w:val="77827F3C"/>
    <w:rsid w:val="77845067"/>
    <w:rsid w:val="77852A7F"/>
    <w:rsid w:val="77B55F2E"/>
    <w:rsid w:val="77C80FCD"/>
    <w:rsid w:val="77D8618B"/>
    <w:rsid w:val="77E91EF5"/>
    <w:rsid w:val="780C794F"/>
    <w:rsid w:val="781047B3"/>
    <w:rsid w:val="7816305B"/>
    <w:rsid w:val="781B2E72"/>
    <w:rsid w:val="781B689E"/>
    <w:rsid w:val="781F21E5"/>
    <w:rsid w:val="7825161E"/>
    <w:rsid w:val="783625E0"/>
    <w:rsid w:val="784255A8"/>
    <w:rsid w:val="78451312"/>
    <w:rsid w:val="785829AF"/>
    <w:rsid w:val="785F26C9"/>
    <w:rsid w:val="78606643"/>
    <w:rsid w:val="78790078"/>
    <w:rsid w:val="789913C0"/>
    <w:rsid w:val="78997B78"/>
    <w:rsid w:val="78A418EA"/>
    <w:rsid w:val="78B100A7"/>
    <w:rsid w:val="78C41D7A"/>
    <w:rsid w:val="78CB2F33"/>
    <w:rsid w:val="78DE650C"/>
    <w:rsid w:val="78E02677"/>
    <w:rsid w:val="78EE0E4F"/>
    <w:rsid w:val="78F46E96"/>
    <w:rsid w:val="78FC207D"/>
    <w:rsid w:val="78FE5FEE"/>
    <w:rsid w:val="790B50C7"/>
    <w:rsid w:val="791C38D3"/>
    <w:rsid w:val="79244401"/>
    <w:rsid w:val="7924462B"/>
    <w:rsid w:val="79244646"/>
    <w:rsid w:val="792B2CAD"/>
    <w:rsid w:val="792E0DEE"/>
    <w:rsid w:val="79317A55"/>
    <w:rsid w:val="79446FED"/>
    <w:rsid w:val="794562E9"/>
    <w:rsid w:val="79457F71"/>
    <w:rsid w:val="794D313C"/>
    <w:rsid w:val="79553294"/>
    <w:rsid w:val="7955762E"/>
    <w:rsid w:val="795667EE"/>
    <w:rsid w:val="795A1670"/>
    <w:rsid w:val="79641653"/>
    <w:rsid w:val="79664C14"/>
    <w:rsid w:val="79675ECA"/>
    <w:rsid w:val="796923EA"/>
    <w:rsid w:val="797263AE"/>
    <w:rsid w:val="79753740"/>
    <w:rsid w:val="79891237"/>
    <w:rsid w:val="799B2828"/>
    <w:rsid w:val="79A51EBC"/>
    <w:rsid w:val="79C17D2F"/>
    <w:rsid w:val="79C97FB0"/>
    <w:rsid w:val="79D93AFA"/>
    <w:rsid w:val="79EA0FFD"/>
    <w:rsid w:val="79ED3649"/>
    <w:rsid w:val="79F621C1"/>
    <w:rsid w:val="7A0365DC"/>
    <w:rsid w:val="7A114233"/>
    <w:rsid w:val="7A12263A"/>
    <w:rsid w:val="7A157FD2"/>
    <w:rsid w:val="7A245909"/>
    <w:rsid w:val="7A2A1D2C"/>
    <w:rsid w:val="7A331F08"/>
    <w:rsid w:val="7A3F6347"/>
    <w:rsid w:val="7A494F6D"/>
    <w:rsid w:val="7A4C3830"/>
    <w:rsid w:val="7A671FF3"/>
    <w:rsid w:val="7A73178E"/>
    <w:rsid w:val="7A7F54F8"/>
    <w:rsid w:val="7A8D0DCE"/>
    <w:rsid w:val="7A926788"/>
    <w:rsid w:val="7AA310F2"/>
    <w:rsid w:val="7ACF3C60"/>
    <w:rsid w:val="7AD02BF7"/>
    <w:rsid w:val="7ADC7DA0"/>
    <w:rsid w:val="7ADF7839"/>
    <w:rsid w:val="7AE26CCB"/>
    <w:rsid w:val="7AE57504"/>
    <w:rsid w:val="7AEC7EBF"/>
    <w:rsid w:val="7B004596"/>
    <w:rsid w:val="7B03791F"/>
    <w:rsid w:val="7B071170"/>
    <w:rsid w:val="7B087857"/>
    <w:rsid w:val="7B0B7491"/>
    <w:rsid w:val="7B221D52"/>
    <w:rsid w:val="7B2255DB"/>
    <w:rsid w:val="7B23033E"/>
    <w:rsid w:val="7B28618E"/>
    <w:rsid w:val="7B31659B"/>
    <w:rsid w:val="7B406092"/>
    <w:rsid w:val="7B42499F"/>
    <w:rsid w:val="7B4310C8"/>
    <w:rsid w:val="7B4F09A0"/>
    <w:rsid w:val="7B57644D"/>
    <w:rsid w:val="7B6B4049"/>
    <w:rsid w:val="7B6D63F4"/>
    <w:rsid w:val="7B7142EA"/>
    <w:rsid w:val="7B7761D9"/>
    <w:rsid w:val="7B877C54"/>
    <w:rsid w:val="7B8C26DB"/>
    <w:rsid w:val="7BB77097"/>
    <w:rsid w:val="7BBA7BA5"/>
    <w:rsid w:val="7BC46081"/>
    <w:rsid w:val="7BCB22CD"/>
    <w:rsid w:val="7BDF77D2"/>
    <w:rsid w:val="7BE779B4"/>
    <w:rsid w:val="7BF72207"/>
    <w:rsid w:val="7BFD241F"/>
    <w:rsid w:val="7C0572E3"/>
    <w:rsid w:val="7C0908E9"/>
    <w:rsid w:val="7C17381A"/>
    <w:rsid w:val="7C275A24"/>
    <w:rsid w:val="7C292F8B"/>
    <w:rsid w:val="7C2D6C34"/>
    <w:rsid w:val="7C372271"/>
    <w:rsid w:val="7C3779AA"/>
    <w:rsid w:val="7C447564"/>
    <w:rsid w:val="7C464BD1"/>
    <w:rsid w:val="7C5465CC"/>
    <w:rsid w:val="7C5672A1"/>
    <w:rsid w:val="7C5A086B"/>
    <w:rsid w:val="7C5A4A36"/>
    <w:rsid w:val="7C5B25F7"/>
    <w:rsid w:val="7C5D28D4"/>
    <w:rsid w:val="7C5E1F8C"/>
    <w:rsid w:val="7C650448"/>
    <w:rsid w:val="7C834444"/>
    <w:rsid w:val="7C9317D9"/>
    <w:rsid w:val="7C962608"/>
    <w:rsid w:val="7C9711B4"/>
    <w:rsid w:val="7CA36ACC"/>
    <w:rsid w:val="7CAE532D"/>
    <w:rsid w:val="7CAE73DF"/>
    <w:rsid w:val="7CD416CE"/>
    <w:rsid w:val="7CDB126F"/>
    <w:rsid w:val="7CE36B2C"/>
    <w:rsid w:val="7CEC3BD7"/>
    <w:rsid w:val="7CF40623"/>
    <w:rsid w:val="7D0012C5"/>
    <w:rsid w:val="7D133FC1"/>
    <w:rsid w:val="7D2840E2"/>
    <w:rsid w:val="7D323383"/>
    <w:rsid w:val="7D4209ED"/>
    <w:rsid w:val="7D473E80"/>
    <w:rsid w:val="7D484985"/>
    <w:rsid w:val="7D4F0106"/>
    <w:rsid w:val="7D516F35"/>
    <w:rsid w:val="7D5350DF"/>
    <w:rsid w:val="7D5356AC"/>
    <w:rsid w:val="7D590603"/>
    <w:rsid w:val="7D6A29C1"/>
    <w:rsid w:val="7D706E1D"/>
    <w:rsid w:val="7D766D0F"/>
    <w:rsid w:val="7D766F1F"/>
    <w:rsid w:val="7D7703E4"/>
    <w:rsid w:val="7D89693E"/>
    <w:rsid w:val="7D930D9E"/>
    <w:rsid w:val="7DA25346"/>
    <w:rsid w:val="7DB65DCC"/>
    <w:rsid w:val="7DB92F00"/>
    <w:rsid w:val="7DC80CCB"/>
    <w:rsid w:val="7DCD4688"/>
    <w:rsid w:val="7DD110DE"/>
    <w:rsid w:val="7DE72EED"/>
    <w:rsid w:val="7DE73EF7"/>
    <w:rsid w:val="7DF36EF8"/>
    <w:rsid w:val="7DFA0A6C"/>
    <w:rsid w:val="7E210E16"/>
    <w:rsid w:val="7E3430E6"/>
    <w:rsid w:val="7E391E27"/>
    <w:rsid w:val="7E480029"/>
    <w:rsid w:val="7E4E59A1"/>
    <w:rsid w:val="7E597CD7"/>
    <w:rsid w:val="7E623BDD"/>
    <w:rsid w:val="7E646C40"/>
    <w:rsid w:val="7E682AF4"/>
    <w:rsid w:val="7E8A6C6C"/>
    <w:rsid w:val="7E907228"/>
    <w:rsid w:val="7E911484"/>
    <w:rsid w:val="7E9132FB"/>
    <w:rsid w:val="7EA52415"/>
    <w:rsid w:val="7EA60B18"/>
    <w:rsid w:val="7EB1094D"/>
    <w:rsid w:val="7EC06781"/>
    <w:rsid w:val="7ECF1F3E"/>
    <w:rsid w:val="7EDB452D"/>
    <w:rsid w:val="7EDF109A"/>
    <w:rsid w:val="7EE03421"/>
    <w:rsid w:val="7EE05793"/>
    <w:rsid w:val="7EE70BC1"/>
    <w:rsid w:val="7EF210A1"/>
    <w:rsid w:val="7EF35C84"/>
    <w:rsid w:val="7F0A4AEC"/>
    <w:rsid w:val="7F1F2CD5"/>
    <w:rsid w:val="7F202501"/>
    <w:rsid w:val="7F2E4DD6"/>
    <w:rsid w:val="7F2F3E6A"/>
    <w:rsid w:val="7F397C9F"/>
    <w:rsid w:val="7F425028"/>
    <w:rsid w:val="7F511F5F"/>
    <w:rsid w:val="7F560CAF"/>
    <w:rsid w:val="7F654939"/>
    <w:rsid w:val="7F7F111A"/>
    <w:rsid w:val="7F8D722F"/>
    <w:rsid w:val="7F961872"/>
    <w:rsid w:val="7F9D7279"/>
    <w:rsid w:val="7FC441A9"/>
    <w:rsid w:val="7FD24120"/>
    <w:rsid w:val="7FE84A59"/>
    <w:rsid w:val="7FED7352"/>
    <w:rsid w:val="7FE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EC867A-CDC2-4C9E-9912-34D8165C5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2"/>
    </w:rPr>
  </w:style>
  <w:style w:type="paragraph" w:styleId="1">
    <w:name w:val="heading 1"/>
    <w:basedOn w:val="a"/>
    <w:next w:val="a"/>
    <w:link w:val="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2">
    <w:name w:val="heading 2"/>
    <w:basedOn w:val="1"/>
    <w:next w:val="a"/>
    <w:link w:val="2Char"/>
    <w:qFormat/>
    <w:pPr>
      <w:keepNext/>
      <w:keepLines/>
      <w:numPr>
        <w:ilvl w:val="1"/>
      </w:numPr>
      <w:spacing w:after="74" w:line="240" w:lineRule="auto"/>
      <w:ind w:left="578" w:hanging="578"/>
      <w:outlineLvl w:val="1"/>
    </w:pPr>
    <w:rPr>
      <w:rFonts w:eastAsia="宋体"/>
      <w:kern w:val="2"/>
      <w:sz w:val="24"/>
      <w:szCs w:val="24"/>
    </w:rPr>
  </w:style>
  <w:style w:type="paragraph" w:styleId="3">
    <w:name w:val="heading 3"/>
    <w:basedOn w:val="2"/>
    <w:next w:val="a"/>
    <w:link w:val="3Char"/>
    <w:uiPriority w:val="9"/>
    <w:qFormat/>
    <w:pPr>
      <w:numPr>
        <w:ilvl w:val="2"/>
        <w:numId w:val="2"/>
      </w:numPr>
      <w:tabs>
        <w:tab w:val="clear" w:pos="720"/>
      </w:tabs>
      <w:spacing w:before="260" w:after="76" w:line="416" w:lineRule="auto"/>
      <w:outlineLvl w:val="2"/>
    </w:pPr>
    <w:rPr>
      <w:szCs w:val="32"/>
    </w:rPr>
  </w:style>
  <w:style w:type="paragraph" w:styleId="4">
    <w:name w:val="heading 4"/>
    <w:basedOn w:val="3"/>
    <w:next w:val="a"/>
    <w:link w:val="4Char"/>
    <w:qFormat/>
    <w:pPr>
      <w:overflowPunct w:val="0"/>
      <w:textAlignment w:val="baseline"/>
      <w:outlineLvl w:val="3"/>
    </w:pPr>
    <w:rPr>
      <w:szCs w:val="28"/>
    </w:rPr>
  </w:style>
  <w:style w:type="paragraph" w:styleId="5">
    <w:name w:val="heading 5"/>
    <w:basedOn w:val="4"/>
    <w:next w:val="a"/>
    <w:link w:val="5Char"/>
    <w:qFormat/>
    <w:pPr>
      <w:spacing w:beforeLines="50"/>
      <w:outlineLvl w:val="4"/>
    </w:pPr>
    <w:rPr>
      <w:szCs w:val="24"/>
    </w:rPr>
  </w:style>
  <w:style w:type="paragraph" w:styleId="6">
    <w:name w:val="heading 6"/>
    <w:basedOn w:val="a"/>
    <w:next w:val="a"/>
    <w:link w:val="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Char"/>
    <w:qFormat/>
    <w:pPr>
      <w:tabs>
        <w:tab w:val="left" w:pos="1418"/>
      </w:tabs>
      <w:spacing w:before="120" w:after="120"/>
    </w:pPr>
    <w:rPr>
      <w:b/>
      <w:bCs/>
      <w:szCs w:val="20"/>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Cs w:val="20"/>
    </w:rPr>
  </w:style>
  <w:style w:type="paragraph" w:styleId="a7">
    <w:name w:val="Body Text"/>
    <w:basedOn w:val="a"/>
    <w:link w:val="Char2"/>
    <w:qFormat/>
    <w:pPr>
      <w:widowControl w:val="0"/>
      <w:jc w:val="both"/>
    </w:pPr>
    <w:rPr>
      <w:color w:val="000000"/>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851"/>
    </w:pPr>
  </w:style>
  <w:style w:type="paragraph" w:styleId="a9">
    <w:name w:val="Plain Text"/>
    <w:basedOn w:val="a"/>
    <w:link w:val="Char4"/>
    <w:uiPriority w:val="99"/>
    <w:unhideWhenUsed/>
    <w:qFormat/>
    <w:rPr>
      <w:rFonts w:eastAsia="Calibri"/>
      <w:szCs w:val="21"/>
      <w:lang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pPr>
    <w:rPr>
      <w:sz w:val="18"/>
      <w:szCs w:val="18"/>
    </w:rPr>
  </w:style>
  <w:style w:type="paragraph" w:styleId="ad">
    <w:name w:val="header"/>
    <w:basedOn w:val="a"/>
    <w:link w:val="Char8"/>
    <w:uiPriority w:val="99"/>
    <w:qFormat/>
    <w:pPr>
      <w:tabs>
        <w:tab w:val="center" w:pos="4536"/>
        <w:tab w:val="right" w:pos="9072"/>
      </w:tabs>
    </w:pPr>
    <w:rPr>
      <w:rFonts w:ascii="Arial" w:eastAsia="MS Mincho" w:hAnsi="Arial"/>
      <w:b/>
      <w:szCs w:val="24"/>
      <w:lang w:eastAsia="en-US"/>
    </w:rPr>
  </w:style>
  <w:style w:type="paragraph" w:styleId="ae">
    <w:name w:val="List"/>
    <w:basedOn w:val="a"/>
    <w:uiPriority w:val="99"/>
    <w:unhideWhenUsed/>
    <w:qFormat/>
    <w:pPr>
      <w:ind w:left="568" w:hanging="284"/>
    </w:pPr>
  </w:style>
  <w:style w:type="paragraph" w:styleId="21">
    <w:name w:val="Body Text 2"/>
    <w:basedOn w:val="a"/>
    <w:uiPriority w:val="99"/>
    <w:unhideWhenUsed/>
    <w:qFormat/>
    <w:pPr>
      <w:spacing w:beforeLines="50" w:before="120" w:afterLines="50" w:after="120"/>
      <w:jc w:val="both"/>
    </w:pPr>
    <w:rPr>
      <w:rFonts w:eastAsiaTheme="minorEastAsia"/>
      <w:sz w:val="22"/>
    </w:rPr>
  </w:style>
  <w:style w:type="paragraph" w:styleId="af">
    <w:name w:val="Normal (Web)"/>
    <w:basedOn w:val="a"/>
    <w:uiPriority w:val="99"/>
    <w:unhideWhenUsed/>
    <w:qFormat/>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mphasis"/>
    <w:uiPriority w:val="20"/>
    <w:qFormat/>
    <w:rPr>
      <w:i/>
    </w:rPr>
  </w:style>
  <w:style w:type="character" w:styleId="af4">
    <w:name w:val="Hyperlink"/>
    <w:uiPriority w:val="99"/>
    <w:unhideWhenUsed/>
    <w:qFormat/>
    <w:rPr>
      <w:color w:val="0000FF"/>
      <w:u w:val="single"/>
    </w:rPr>
  </w:style>
  <w:style w:type="character" w:styleId="af5">
    <w:name w:val="annotation reference"/>
    <w:uiPriority w:val="99"/>
    <w:unhideWhenUsed/>
    <w:qFormat/>
    <w:rPr>
      <w:sz w:val="16"/>
      <w:szCs w:val="16"/>
    </w:rPr>
  </w:style>
  <w:style w:type="paragraph" w:customStyle="1" w:styleId="TH">
    <w:name w:val="TH"/>
    <w:basedOn w:val="a"/>
    <w:link w:val="THChar"/>
    <w:qFormat/>
    <w:pPr>
      <w:keepNext/>
      <w:keepLines/>
      <w:spacing w:before="60" w:after="180"/>
      <w:jc w:val="center"/>
    </w:pPr>
    <w:rPr>
      <w:rFonts w:ascii="Arial" w:hAnsi="Arial"/>
      <w:b/>
      <w:szCs w:val="20"/>
      <w:lang w:eastAsia="en-US"/>
    </w:rPr>
  </w:style>
  <w:style w:type="paragraph" w:customStyle="1" w:styleId="50">
    <w:name w:val="列出段落5"/>
    <w:basedOn w:val="a"/>
    <w:uiPriority w:val="99"/>
    <w:unhideWhenUsed/>
    <w:qFormat/>
    <w:pPr>
      <w:ind w:firstLineChars="200" w:firstLine="420"/>
    </w:pPr>
  </w:style>
  <w:style w:type="paragraph" w:customStyle="1" w:styleId="EQ">
    <w:name w:val="EQ"/>
    <w:basedOn w:val="a"/>
    <w:next w:val="a"/>
    <w:qFormat/>
    <w:pPr>
      <w:keepLines/>
      <w:tabs>
        <w:tab w:val="center" w:pos="4536"/>
        <w:tab w:val="right" w:pos="9072"/>
      </w:tabs>
      <w:overflowPunct w:val="0"/>
      <w:spacing w:after="180"/>
      <w:textAlignment w:val="baseline"/>
    </w:pPr>
  </w:style>
  <w:style w:type="paragraph" w:customStyle="1" w:styleId="af6">
    <w:name w:val="样式 ！正文"/>
    <w:basedOn w:val="a"/>
    <w:qFormat/>
    <w:pPr>
      <w:widowControl w:val="0"/>
      <w:spacing w:before="40" w:after="40" w:line="300" w:lineRule="auto"/>
      <w:ind w:firstLine="420"/>
      <w:jc w:val="both"/>
    </w:pPr>
    <w:rPr>
      <w:rFonts w:cs="宋体"/>
      <w:kern w:val="2"/>
      <w:sz w:val="21"/>
      <w:szCs w:val="20"/>
    </w:rPr>
  </w:style>
  <w:style w:type="paragraph" w:customStyle="1" w:styleId="ListParagraph5">
    <w:name w:val="List Paragraph5"/>
    <w:basedOn w:val="a"/>
    <w:uiPriority w:val="99"/>
    <w:qFormat/>
    <w:pPr>
      <w:ind w:firstLineChars="200" w:firstLine="420"/>
    </w:p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0">
    <w:name w:val="列出段落4"/>
    <w:basedOn w:val="a"/>
    <w:uiPriority w:val="99"/>
    <w:qFormat/>
    <w:pPr>
      <w:ind w:firstLineChars="200" w:firstLine="42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N">
    <w:name w:val="TAN"/>
    <w:basedOn w:val="a"/>
    <w:qFormat/>
    <w:pPr>
      <w:keepNext/>
      <w:keepLines/>
      <w:ind w:left="851" w:hanging="851"/>
    </w:pPr>
    <w:rPr>
      <w:rFonts w:ascii="Arial" w:hAnsi="Arial"/>
      <w:sz w:val="18"/>
      <w:szCs w:val="20"/>
      <w:lang w:eastAsia="en-US"/>
    </w:rPr>
  </w:style>
  <w:style w:type="paragraph" w:customStyle="1" w:styleId="10">
    <w:name w:val="列出段落1"/>
    <w:basedOn w:val="a"/>
    <w:uiPriority w:val="34"/>
    <w:qFormat/>
    <w:pPr>
      <w:ind w:leftChars="400" w:left="840"/>
    </w:pPr>
    <w:rPr>
      <w:rFonts w:ascii="Times" w:eastAsia="Batang" w:hAnsi="Times"/>
      <w:szCs w:val="24"/>
      <w:lang w:val="en-GB"/>
    </w:rPr>
  </w:style>
  <w:style w:type="paragraph" w:customStyle="1" w:styleId="22">
    <w:name w:val="修订2"/>
    <w:uiPriority w:val="99"/>
    <w:semiHidden/>
    <w:qFormat/>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a"/>
    <w:uiPriority w:val="99"/>
    <w:qFormat/>
    <w:pPr>
      <w:ind w:firstLineChars="200" w:firstLine="420"/>
    </w:p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B2">
    <w:name w:val="B2"/>
    <w:basedOn w:val="20"/>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jc w:val="center"/>
    </w:pPr>
    <w:rPr>
      <w:rFonts w:ascii="Arial" w:hAnsi="Arial"/>
      <w:vanish/>
      <w:sz w:val="16"/>
      <w:szCs w:val="16"/>
    </w:rPr>
  </w:style>
  <w:style w:type="paragraph" w:customStyle="1" w:styleId="11">
    <w:name w:val="修订1"/>
    <w:uiPriority w:val="99"/>
    <w:semiHidden/>
    <w:qFormat/>
    <w:rPr>
      <w:rFonts w:ascii="Calibri" w:eastAsia="宋体" w:hAnsi="Calibri"/>
      <w:sz w:val="22"/>
      <w:szCs w:val="22"/>
    </w:rPr>
  </w:style>
  <w:style w:type="paragraph" w:customStyle="1" w:styleId="Style55">
    <w:name w:val="_Style 55"/>
    <w:uiPriority w:val="99"/>
    <w:unhideWhenUsed/>
    <w:qFormat/>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30"/>
    <w:qFormat/>
    <w:pPr>
      <w:spacing w:after="180"/>
      <w:ind w:leftChars="0" w:left="1135" w:firstLineChars="0" w:hanging="284"/>
    </w:pPr>
    <w:rPr>
      <w:rFonts w:eastAsia="MS Mincho"/>
      <w:szCs w:val="20"/>
      <w:lang w:eastAsia="en-US"/>
    </w:rPr>
  </w:style>
  <w:style w:type="paragraph" w:customStyle="1" w:styleId="RAN1text">
    <w:name w:val="RAN1 text"/>
    <w:basedOn w:val="a7"/>
    <w:qFormat/>
    <w:rPr>
      <w:rFonts w:eastAsia="MS Mincho"/>
    </w:rPr>
  </w:style>
  <w:style w:type="paragraph" w:customStyle="1" w:styleId="31">
    <w:name w:val="列出段落3"/>
    <w:basedOn w:val="a"/>
    <w:uiPriority w:val="99"/>
    <w:qFormat/>
    <w:pPr>
      <w:ind w:firstLineChars="200" w:firstLine="420"/>
    </w:pPr>
  </w:style>
  <w:style w:type="paragraph" w:customStyle="1" w:styleId="Style1">
    <w:name w:val="_Style 1"/>
    <w:basedOn w:val="a"/>
    <w:uiPriority w:val="34"/>
    <w:qFormat/>
    <w:pPr>
      <w:ind w:leftChars="400" w:left="840"/>
    </w:pPr>
  </w:style>
  <w:style w:type="paragraph" w:customStyle="1" w:styleId="23">
    <w:name w:val="列出段落2"/>
    <w:basedOn w:val="a"/>
    <w:uiPriority w:val="99"/>
    <w:qFormat/>
    <w:pPr>
      <w:ind w:left="720"/>
      <w:contextualSpacing/>
    </w:pPr>
  </w:style>
  <w:style w:type="paragraph" w:customStyle="1" w:styleId="B1">
    <w:name w:val="B1"/>
    <w:basedOn w:val="ae"/>
    <w:qFormat/>
  </w:style>
  <w:style w:type="paragraph" w:customStyle="1" w:styleId="ListParagraph1">
    <w:name w:val="List Paragraph1"/>
    <w:basedOn w:val="a"/>
    <w:uiPriority w:val="99"/>
    <w:unhideWhenUsed/>
    <w:qFormat/>
    <w:pPr>
      <w:ind w:firstLineChars="200" w:firstLine="420"/>
    </w:pPr>
  </w:style>
  <w:style w:type="paragraph" w:customStyle="1" w:styleId="110">
    <w:name w:val="列出段落11"/>
    <w:basedOn w:val="a"/>
    <w:link w:val="Chara"/>
    <w:uiPriority w:val="34"/>
    <w:qFormat/>
    <w:pPr>
      <w:widowControl w:val="0"/>
      <w:ind w:firstLineChars="200" w:firstLine="420"/>
      <w:jc w:val="both"/>
    </w:pPr>
    <w:rPr>
      <w:kern w:val="2"/>
      <w:sz w:val="21"/>
      <w:szCs w:val="24"/>
    </w:rPr>
  </w:style>
  <w:style w:type="paragraph" w:customStyle="1" w:styleId="Revision2">
    <w:name w:val="Revision2"/>
    <w:uiPriority w:val="99"/>
    <w:unhideWhenUsed/>
    <w:qFormat/>
    <w:rPr>
      <w:rFonts w:eastAsia="Times New Roman"/>
      <w:szCs w:val="22"/>
    </w:rPr>
  </w:style>
  <w:style w:type="paragraph" w:customStyle="1" w:styleId="ListParagraph7">
    <w:name w:val="List Paragraph7"/>
    <w:basedOn w:val="a"/>
    <w:uiPriority w:val="34"/>
    <w:qFormat/>
    <w:pPr>
      <w:ind w:firstLine="420"/>
    </w:pPr>
    <w:rPr>
      <w:rFonts w:ascii="MS PGothic" w:eastAsia="MS PGothic" w:hAnsi="MS PGothic" w:cs="宋体"/>
      <w:sz w:val="24"/>
      <w:szCs w:val="24"/>
    </w:rPr>
  </w:style>
  <w:style w:type="paragraph" w:customStyle="1" w:styleId="af7">
    <w:name w:val="表格文字居左"/>
    <w:basedOn w:val="a"/>
    <w:next w:val="a"/>
    <w:qFormat/>
    <w:pPr>
      <w:widowControl w:val="0"/>
      <w:jc w:val="both"/>
    </w:pPr>
    <w:rPr>
      <w:rFonts w:ascii="Arial" w:hAnsi="Arial" w:cs="宋体"/>
      <w:kern w:val="2"/>
      <w:sz w:val="21"/>
      <w:szCs w:val="20"/>
    </w:rPr>
  </w:style>
  <w:style w:type="paragraph" w:customStyle="1" w:styleId="Style3">
    <w:name w:val="_Style 3"/>
    <w:basedOn w:val="a"/>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ListParagraph6">
    <w:name w:val="List Paragraph6"/>
    <w:basedOn w:val="a"/>
    <w:uiPriority w:val="99"/>
    <w:qFormat/>
    <w:pPr>
      <w:ind w:firstLineChars="200" w:firstLine="420"/>
    </w:pPr>
  </w:style>
  <w:style w:type="paragraph" w:customStyle="1" w:styleId="tablecell">
    <w:name w:val="tablecell"/>
    <w:basedOn w:val="a"/>
    <w:qFormat/>
    <w:pPr>
      <w:autoSpaceDE w:val="0"/>
      <w:autoSpaceDN w:val="0"/>
      <w:adjustRightInd w:val="0"/>
      <w:snapToGrid w:val="0"/>
      <w:spacing w:before="40" w:after="40"/>
    </w:pPr>
    <w:rPr>
      <w:lang w:eastAsia="en-US"/>
    </w:rPr>
  </w:style>
  <w:style w:type="paragraph" w:customStyle="1" w:styleId="tableheader">
    <w:name w:val="tableheader"/>
    <w:basedOn w:val="a"/>
    <w:qFormat/>
    <w:pPr>
      <w:snapToGrid w:val="0"/>
      <w:spacing w:before="40" w:after="40"/>
      <w:jc w:val="center"/>
    </w:pPr>
    <w:rPr>
      <w:rFonts w:cs="Calibri"/>
      <w:b/>
      <w:bCs/>
      <w:color w:val="000000"/>
      <w:lang w:eastAsia="en-US"/>
    </w:rPr>
  </w:style>
  <w:style w:type="paragraph" w:customStyle="1" w:styleId="Test">
    <w:name w:val="Test"/>
    <w:basedOn w:val="a"/>
    <w:qFormat/>
    <w:pPr>
      <w:spacing w:before="60" w:after="60" w:line="280" w:lineRule="atLeast"/>
      <w:ind w:left="2160"/>
      <w:jc w:val="both"/>
    </w:pPr>
    <w:rPr>
      <w:rFonts w:eastAsia="MS Mincho"/>
      <w:szCs w:val="20"/>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eastAsia="ko-KR"/>
    </w:rPr>
  </w:style>
  <w:style w:type="paragraph" w:customStyle="1" w:styleId="Revision1">
    <w:name w:val="Revision1"/>
    <w:uiPriority w:val="99"/>
    <w:semiHidden/>
    <w:qFormat/>
    <w:rPr>
      <w:rFonts w:eastAsia="宋体"/>
      <w:szCs w:val="22"/>
    </w:rPr>
  </w:style>
  <w:style w:type="paragraph" w:customStyle="1" w:styleId="RAN1bullet1">
    <w:name w:val="RAN1 bullet1"/>
    <w:basedOn w:val="a"/>
    <w:qFormat/>
    <w:pPr>
      <w:numPr>
        <w:numId w:val="3"/>
      </w:numPr>
    </w:pPr>
  </w:style>
  <w:style w:type="paragraph" w:customStyle="1" w:styleId="ListParagraph2">
    <w:name w:val="List Paragraph2"/>
    <w:basedOn w:val="a"/>
    <w:uiPriority w:val="99"/>
    <w:qFormat/>
    <w:pPr>
      <w:ind w:firstLineChars="200" w:firstLine="420"/>
    </w:pPr>
  </w:style>
  <w:style w:type="paragraph" w:customStyle="1" w:styleId="ZA">
    <w:name w:val="ZA"/>
    <w:qFormat/>
    <w:pPr>
      <w:widowControl w:val="0"/>
      <w:pBdr>
        <w:bottom w:val="single" w:sz="12" w:space="1" w:color="auto"/>
      </w:pBdr>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jc w:val="center"/>
    </w:pPr>
    <w:rPr>
      <w:rFonts w:ascii="Arial" w:hAnsi="Arial"/>
      <w:vanish/>
      <w:sz w:val="16"/>
      <w:szCs w:val="16"/>
    </w:rPr>
  </w:style>
  <w:style w:type="character" w:customStyle="1" w:styleId="3Char">
    <w:name w:val="标题 3 Char"/>
    <w:link w:val="3"/>
    <w:uiPriority w:val="9"/>
    <w:qFormat/>
    <w:rPr>
      <w:rFonts w:ascii="Times New Roman" w:eastAsia="宋体" w:hAnsi="Times New Roman"/>
      <w:b/>
      <w:bCs/>
      <w:sz w:val="24"/>
      <w:szCs w:val="32"/>
      <w:lang w:val="en-US" w:eastAsia="zh-CN"/>
    </w:rPr>
  </w:style>
  <w:style w:type="character" w:customStyle="1" w:styleId="7Char">
    <w:name w:val="标题 7 Char"/>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Char2">
    <w:name w:val="正文文本 Char"/>
    <w:link w:val="a7"/>
    <w:qFormat/>
    <w:rPr>
      <w:rFonts w:ascii="Times New Roman" w:eastAsia="宋体" w:hAnsi="Times New Roman"/>
      <w:color w:val="000000"/>
      <w:kern w:val="2"/>
      <w:sz w:val="21"/>
    </w:rPr>
  </w:style>
  <w:style w:type="character" w:customStyle="1" w:styleId="Char5">
    <w:name w:val="日期 Char"/>
    <w:link w:val="aa"/>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har9">
    <w:name w:val="批注主题 Char"/>
    <w:link w:val="af0"/>
    <w:uiPriority w:val="99"/>
    <w:semiHidden/>
    <w:qFormat/>
    <w:rPr>
      <w:b/>
      <w:bCs/>
    </w:rPr>
  </w:style>
  <w:style w:type="character" w:customStyle="1" w:styleId="Chara">
    <w:name w:val="列出段落 Char"/>
    <w:link w:val="110"/>
    <w:uiPriority w:val="34"/>
    <w:qFormat/>
    <w:rPr>
      <w:rFonts w:ascii="Times New Roman" w:hAnsi="Times New Roman"/>
      <w:kern w:val="2"/>
      <w:sz w:val="21"/>
      <w:szCs w:val="24"/>
    </w:rPr>
  </w:style>
  <w:style w:type="character" w:customStyle="1" w:styleId="Char8">
    <w:name w:val="页眉 Char"/>
    <w:link w:val="ad"/>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6Char">
    <w:name w:val="标题 6 Char"/>
    <w:link w:val="6"/>
    <w:uiPriority w:val="9"/>
    <w:semiHidden/>
    <w:qFormat/>
    <w:rPr>
      <w:rFonts w:ascii="Cambria" w:eastAsia="宋体" w:hAnsi="Cambria" w:cs="黑体"/>
      <w:b/>
      <w:bCs/>
      <w:sz w:val="24"/>
      <w:szCs w:val="24"/>
      <w:lang w:val="en-US" w:eastAsia="zh-CN"/>
    </w:rPr>
  </w:style>
  <w:style w:type="character" w:customStyle="1" w:styleId="4Char">
    <w:name w:val="标题 4 Char"/>
    <w:link w:val="4"/>
    <w:qFormat/>
    <w:rPr>
      <w:rFonts w:ascii="Times New Roman" w:hAnsi="Times New Roman"/>
      <w:b/>
      <w:sz w:val="28"/>
      <w:szCs w:val="28"/>
      <w:lang w:eastAsia="zh-CN"/>
    </w:rPr>
  </w:style>
  <w:style w:type="character" w:customStyle="1" w:styleId="9Char">
    <w:name w:val="标题 9 Char"/>
    <w:link w:val="9"/>
    <w:uiPriority w:val="9"/>
    <w:semiHidden/>
    <w:qFormat/>
    <w:rPr>
      <w:rFonts w:ascii="Cambria" w:eastAsia="宋体" w:hAnsi="Cambria" w:cs="黑体"/>
      <w:sz w:val="21"/>
      <w:szCs w:val="21"/>
      <w:lang w:val="en-US" w:eastAsia="zh-CN"/>
    </w:rPr>
  </w:style>
  <w:style w:type="character" w:customStyle="1" w:styleId="Char4">
    <w:name w:val="纯文本 Char"/>
    <w:link w:val="a9"/>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Char">
    <w:name w:val="标题 5 Char"/>
    <w:link w:val="5"/>
    <w:qFormat/>
    <w:rPr>
      <w:rFonts w:ascii="Times New Roman" w:hAnsi="Times New Roman"/>
      <w:b/>
      <w:sz w:val="24"/>
      <w:szCs w:val="24"/>
      <w:lang w:eastAsia="zh-CN"/>
    </w:rPr>
  </w:style>
  <w:style w:type="character" w:customStyle="1" w:styleId="Char">
    <w:name w:val="题注 Char"/>
    <w:link w:val="a4"/>
    <w:qFormat/>
    <w:rPr>
      <w:rFonts w:ascii="Times New Roman" w:hAnsi="Times New Roman"/>
      <w:b/>
      <w:bCs/>
    </w:rPr>
  </w:style>
  <w:style w:type="character" w:customStyle="1" w:styleId="Char3">
    <w:name w:val="正文文本缩进 Char"/>
    <w:link w:val="a8"/>
    <w:uiPriority w:val="99"/>
    <w:semiHidden/>
    <w:qFormat/>
    <w:rPr>
      <w:sz w:val="22"/>
      <w:szCs w:val="22"/>
    </w:rPr>
  </w:style>
  <w:style w:type="character" w:customStyle="1" w:styleId="8Char">
    <w:name w:val="标题 8 Char"/>
    <w:link w:val="8"/>
    <w:uiPriority w:val="9"/>
    <w:semiHidden/>
    <w:qFormat/>
    <w:rPr>
      <w:rFonts w:ascii="Cambria" w:eastAsia="宋体" w:hAnsi="Cambria" w:cs="黑体"/>
      <w:sz w:val="24"/>
      <w:szCs w:val="24"/>
      <w:lang w:val="en-US" w:eastAsia="zh-CN"/>
    </w:rPr>
  </w:style>
  <w:style w:type="character" w:customStyle="1" w:styleId="2Char">
    <w:name w:val="标题 2 Char"/>
    <w:link w:val="2"/>
    <w:qFormat/>
    <w:rPr>
      <w:rFonts w:ascii="Times New Roman" w:eastAsia="宋体" w:hAnsi="Times New Roman"/>
      <w:b/>
      <w:bCs/>
      <w:kern w:val="2"/>
      <w:sz w:val="24"/>
      <w:szCs w:val="24"/>
      <w:lang w:val="zh-CN"/>
    </w:rPr>
  </w:style>
  <w:style w:type="character" w:customStyle="1" w:styleId="shorttext">
    <w:name w:val="short_text"/>
    <w:basedOn w:val="a0"/>
    <w:qFormat/>
  </w:style>
  <w:style w:type="character" w:customStyle="1" w:styleId="Char7">
    <w:name w:val="页脚 Char"/>
    <w:link w:val="ac"/>
    <w:uiPriority w:val="99"/>
    <w:qFormat/>
    <w:rPr>
      <w:sz w:val="18"/>
      <w:szCs w:val="18"/>
    </w:rPr>
  </w:style>
  <w:style w:type="character" w:customStyle="1" w:styleId="Char1">
    <w:name w:val="批注文字 Char"/>
    <w:basedOn w:val="a0"/>
    <w:link w:val="a6"/>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Char6">
    <w:name w:val="批注框文本 Char"/>
    <w:link w:val="ab"/>
    <w:uiPriority w:val="99"/>
    <w:semiHidden/>
    <w:qFormat/>
    <w:rPr>
      <w:rFonts w:ascii="Tahoma" w:hAnsi="Tahoma" w:cs="Tahoma"/>
      <w:sz w:val="16"/>
      <w:szCs w:val="16"/>
    </w:rPr>
  </w:style>
  <w:style w:type="character" w:customStyle="1" w:styleId="keyword">
    <w:name w:val="keyword"/>
    <w:basedOn w:val="a0"/>
    <w:qFormat/>
  </w:style>
  <w:style w:type="character" w:customStyle="1" w:styleId="Char0">
    <w:name w:val="文档结构图 Char"/>
    <w:link w:val="a5"/>
    <w:uiPriority w:val="99"/>
    <w:semiHidden/>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adjustRightInd w:val="0"/>
      <w:spacing w:beforeLines="35" w:line="460" w:lineRule="exact"/>
      <w:ind w:firstLine="560"/>
    </w:pPr>
    <w:rPr>
      <w:rFonts w:cs="宋体"/>
    </w:rPr>
  </w:style>
  <w:style w:type="paragraph" w:customStyle="1" w:styleId="Revision3">
    <w:name w:val="Revision3"/>
    <w:hidden/>
    <w:uiPriority w:val="99"/>
    <w:semiHidden/>
    <w:qFormat/>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paragraph" w:customStyle="1" w:styleId="60">
    <w:name w:val="列出段落6"/>
    <w:basedOn w:val="a"/>
    <w:uiPriority w:val="34"/>
    <w:qFormat/>
    <w:pPr>
      <w:ind w:leftChars="400" w:left="840"/>
    </w:pPr>
  </w:style>
  <w:style w:type="character" w:customStyle="1" w:styleId="normaltextrun">
    <w:name w:val="normaltextrun"/>
    <w:basedOn w:val="a0"/>
    <w:qFormat/>
  </w:style>
  <w:style w:type="paragraph" w:customStyle="1" w:styleId="0Maintext">
    <w:name w:val="0 Main text"/>
    <w:basedOn w:val="maintext"/>
    <w:qFormat/>
    <w:pPr>
      <w:spacing w:before="0" w:after="100" w:afterAutospacing="1"/>
      <w:ind w:firstLineChars="0" w:firstLine="360"/>
    </w:pPr>
    <w:rPr>
      <w:lang w:eastAsia="en-US"/>
    </w:rPr>
  </w:style>
  <w:style w:type="paragraph" w:styleId="af8">
    <w:name w:val="List Paragraph"/>
    <w:basedOn w:val="a"/>
    <w:uiPriority w:val="34"/>
    <w:qFormat/>
    <w:pPr>
      <w:ind w:leftChars="400" w:left="840"/>
    </w:pPr>
  </w:style>
  <w:style w:type="paragraph" w:customStyle="1" w:styleId="paragraph">
    <w:name w:val="paragraph"/>
    <w:basedOn w:val="a"/>
    <w:uiPriority w:val="99"/>
    <w:qFormat/>
    <w:pPr>
      <w:spacing w:before="100" w:beforeAutospacing="1" w:after="100" w:afterAutospacing="1"/>
    </w:pPr>
    <w:rPr>
      <w:sz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3485</Words>
  <Characters>19865</Characters>
  <Application>Microsoft Office Word</Application>
  <DocSecurity>0</DocSecurity>
  <Lines>165</Lines>
  <Paragraphs>46</Paragraphs>
  <ScaleCrop>false</ScaleCrop>
  <Company>ZTE</Company>
  <LinksUpToDate>false</LinksUpToDate>
  <CharactersWithSpaces>23304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 - Hao</cp:lastModifiedBy>
  <cp:revision>372</cp:revision>
  <dcterms:created xsi:type="dcterms:W3CDTF">2019-11-09T00:23:00Z</dcterms:created>
  <dcterms:modified xsi:type="dcterms:W3CDTF">2021-08-06T09:45:00Z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